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8E85" w14:textId="519AF309" w:rsidR="00DE10B3" w:rsidRDefault="00CF56F4" w:rsidP="0090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Posture d’auteur numérique / </w:t>
      </w:r>
      <w:r w:rsidR="006F77E8">
        <w:rPr>
          <w:b/>
          <w:bCs/>
        </w:rPr>
        <w:t>P</w:t>
      </w:r>
      <w:r w:rsidR="00EA7370" w:rsidRPr="00EA7370">
        <w:rPr>
          <w:b/>
          <w:bCs/>
        </w:rPr>
        <w:t>osture</w:t>
      </w:r>
      <w:r w:rsidR="006F77E8">
        <w:rPr>
          <w:b/>
          <w:bCs/>
        </w:rPr>
        <w:t>(s)</w:t>
      </w:r>
      <w:r w:rsidR="00EA7370" w:rsidRPr="00EA7370">
        <w:rPr>
          <w:b/>
          <w:bCs/>
        </w:rPr>
        <w:t xml:space="preserve"> d’auteur </w:t>
      </w:r>
      <w:r w:rsidR="006F77E8">
        <w:rPr>
          <w:b/>
          <w:bCs/>
        </w:rPr>
        <w:t xml:space="preserve">en milieu </w:t>
      </w:r>
      <w:r w:rsidR="00EA7370" w:rsidRPr="00EA7370">
        <w:rPr>
          <w:b/>
          <w:bCs/>
        </w:rPr>
        <w:t>numérique</w:t>
      </w:r>
      <w:r w:rsidR="00037875">
        <w:rPr>
          <w:b/>
          <w:bCs/>
        </w:rPr>
        <w:t> </w:t>
      </w:r>
    </w:p>
    <w:p w14:paraId="462634F9" w14:textId="15DAC97A" w:rsidR="000B3378" w:rsidRPr="009927AF" w:rsidRDefault="000B3378" w:rsidP="0090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9927AF">
        <w:rPr>
          <w:b/>
          <w:bCs/>
          <w:i/>
          <w:iCs/>
        </w:rPr>
        <w:t>Littérature. Arts. Didactique</w:t>
      </w:r>
    </w:p>
    <w:p w14:paraId="2AAE03AA" w14:textId="77777777" w:rsidR="00733485" w:rsidRDefault="00733485" w:rsidP="0090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0C19CF4" w14:textId="2A8B6717" w:rsidR="00900359" w:rsidRPr="00900359" w:rsidRDefault="00900359" w:rsidP="0090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0359">
        <w:t xml:space="preserve">Journée d’études, le 28 mai 2025, </w:t>
      </w:r>
      <w:r w:rsidR="00306E70">
        <w:t xml:space="preserve">auditorium de la </w:t>
      </w:r>
      <w:r w:rsidRPr="00900359">
        <w:t>Maison de la recherche SHS Annie Ernaux, Cergy</w:t>
      </w:r>
    </w:p>
    <w:p w14:paraId="1DEE9A6F" w14:textId="5DE8CAE4" w:rsidR="00900BB6" w:rsidRPr="00900359" w:rsidRDefault="00900359" w:rsidP="0090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0359">
        <w:t>UMR Héritages 9022, CY Cergy Paris Université</w:t>
      </w:r>
    </w:p>
    <w:p w14:paraId="5E6A7613" w14:textId="77777777" w:rsidR="00733485" w:rsidRPr="00900359" w:rsidRDefault="00733485"/>
    <w:p w14:paraId="08C29C65" w14:textId="7A3A16D8" w:rsidR="0093172C" w:rsidRDefault="00F87F68" w:rsidP="000B3378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C2CB2">
        <w:rPr>
          <w:rFonts w:ascii="Times New Roman" w:hAnsi="Times New Roman" w:cs="Times New Roman"/>
        </w:rPr>
        <w:t>La posture d’auteur</w:t>
      </w:r>
      <w:r w:rsidR="00CC7AD9">
        <w:rPr>
          <w:rStyle w:val="Appeldenotedefin"/>
          <w:rFonts w:ascii="Times New Roman" w:hAnsi="Times New Roman" w:cs="Times New Roman"/>
        </w:rPr>
        <w:endnoteReference w:id="1"/>
      </w:r>
      <w:r w:rsidRPr="000C2CB2">
        <w:rPr>
          <w:rFonts w:ascii="Times New Roman" w:hAnsi="Times New Roman" w:cs="Times New Roman"/>
        </w:rPr>
        <w:t xml:space="preserve"> est une notion </w:t>
      </w:r>
      <w:r w:rsidR="006F6329" w:rsidRPr="000C2CB2">
        <w:rPr>
          <w:rFonts w:ascii="Times New Roman" w:hAnsi="Times New Roman" w:cs="Times New Roman"/>
        </w:rPr>
        <w:t>bien connue en</w:t>
      </w:r>
      <w:r w:rsidRPr="000C2CB2">
        <w:rPr>
          <w:rFonts w:ascii="Times New Roman" w:hAnsi="Times New Roman" w:cs="Times New Roman"/>
        </w:rPr>
        <w:t xml:space="preserve"> sociologie de la littérature, développée par Jérôme </w:t>
      </w:r>
      <w:proofErr w:type="spellStart"/>
      <w:r w:rsidRPr="000C2CB2">
        <w:rPr>
          <w:rFonts w:ascii="Times New Roman" w:hAnsi="Times New Roman" w:cs="Times New Roman"/>
        </w:rPr>
        <w:t>Meizoz</w:t>
      </w:r>
      <w:proofErr w:type="spellEnd"/>
      <w:r w:rsidR="00D35112">
        <w:rPr>
          <w:rFonts w:ascii="Times New Roman" w:hAnsi="Times New Roman" w:cs="Times New Roman"/>
        </w:rPr>
        <w:t>,</w:t>
      </w:r>
      <w:r w:rsidRPr="000C2CB2">
        <w:rPr>
          <w:rFonts w:ascii="Times New Roman" w:hAnsi="Times New Roman" w:cs="Times New Roman"/>
        </w:rPr>
        <w:t xml:space="preserve"> après Alain Viala</w:t>
      </w:r>
      <w:r w:rsidR="00D35112">
        <w:rPr>
          <w:rFonts w:ascii="Times New Roman" w:hAnsi="Times New Roman" w:cs="Times New Roman"/>
        </w:rPr>
        <w:t>,</w:t>
      </w:r>
      <w:r w:rsidR="00DC36C5">
        <w:rPr>
          <w:rFonts w:ascii="Times New Roman" w:hAnsi="Times New Roman" w:cs="Times New Roman"/>
        </w:rPr>
        <w:t xml:space="preserve"> </w:t>
      </w:r>
      <w:r w:rsidR="000D28EE">
        <w:rPr>
          <w:rFonts w:ascii="Times New Roman" w:hAnsi="Times New Roman" w:cs="Times New Roman"/>
        </w:rPr>
        <w:t>en tant que</w:t>
      </w:r>
      <w:r w:rsidR="00DC36C5">
        <w:rPr>
          <w:rFonts w:ascii="Times New Roman" w:hAnsi="Times New Roman" w:cs="Times New Roman"/>
        </w:rPr>
        <w:t xml:space="preserve"> manière d’occuper ostensiblement une position dans le champ littéraire</w:t>
      </w:r>
      <w:r w:rsidR="00D35112">
        <w:rPr>
          <w:rFonts w:ascii="Times New Roman" w:hAnsi="Times New Roman" w:cs="Times New Roman"/>
        </w:rPr>
        <w:t>. Elle suppose</w:t>
      </w:r>
      <w:r w:rsidR="00DC36C5">
        <w:rPr>
          <w:rFonts w:ascii="Times New Roman" w:hAnsi="Times New Roman" w:cs="Times New Roman"/>
        </w:rPr>
        <w:t xml:space="preserve"> </w:t>
      </w:r>
      <w:r w:rsidR="00D35112">
        <w:rPr>
          <w:rFonts w:ascii="Times New Roman" w:hAnsi="Times New Roman" w:cs="Times New Roman"/>
        </w:rPr>
        <w:t xml:space="preserve">la prégnance </w:t>
      </w:r>
      <w:r w:rsidR="00DC36C5">
        <w:rPr>
          <w:rFonts w:ascii="Times New Roman" w:hAnsi="Times New Roman" w:cs="Times New Roman"/>
        </w:rPr>
        <w:t>de codes sociaux intégrés à l’</w:t>
      </w:r>
      <w:r w:rsidR="00DC36C5" w:rsidRPr="00DC36C5">
        <w:rPr>
          <w:rFonts w:ascii="Times New Roman" w:hAnsi="Times New Roman" w:cs="Times New Roman"/>
          <w:i/>
          <w:iCs/>
        </w:rPr>
        <w:t>ethos</w:t>
      </w:r>
      <w:r w:rsidR="00DC36C5">
        <w:rPr>
          <w:rFonts w:ascii="Times New Roman" w:hAnsi="Times New Roman" w:cs="Times New Roman"/>
        </w:rPr>
        <w:t xml:space="preserve"> d’écrivain au point d</w:t>
      </w:r>
      <w:r w:rsidR="00A42487">
        <w:rPr>
          <w:rFonts w:ascii="Times New Roman" w:hAnsi="Times New Roman" w:cs="Times New Roman"/>
        </w:rPr>
        <w:t xml:space="preserve">e </w:t>
      </w:r>
      <w:r w:rsidR="000D28EE">
        <w:rPr>
          <w:rFonts w:ascii="Times New Roman" w:hAnsi="Times New Roman" w:cs="Times New Roman"/>
        </w:rPr>
        <w:t xml:space="preserve">s’y fondre </w:t>
      </w:r>
      <w:r w:rsidR="00900359">
        <w:rPr>
          <w:rFonts w:ascii="Times New Roman" w:hAnsi="Times New Roman" w:cs="Times New Roman"/>
        </w:rPr>
        <w:t>et</w:t>
      </w:r>
      <w:r w:rsidR="000D28EE">
        <w:rPr>
          <w:rFonts w:ascii="Times New Roman" w:hAnsi="Times New Roman" w:cs="Times New Roman"/>
        </w:rPr>
        <w:t xml:space="preserve"> faisant</w:t>
      </w:r>
      <w:r w:rsidR="00DC36C5">
        <w:rPr>
          <w:rFonts w:ascii="Times New Roman" w:hAnsi="Times New Roman" w:cs="Times New Roman"/>
        </w:rPr>
        <w:t xml:space="preserve"> </w:t>
      </w:r>
      <w:r w:rsidR="00DC36C5" w:rsidRPr="00264093">
        <w:rPr>
          <w:rFonts w:ascii="Times New Roman" w:hAnsi="Times New Roman" w:cs="Times New Roman"/>
          <w:color w:val="000000" w:themeColor="text1"/>
        </w:rPr>
        <w:t xml:space="preserve">l’objet d’une scénographie </w:t>
      </w:r>
      <w:r w:rsidR="00D35112">
        <w:rPr>
          <w:rFonts w:ascii="Times New Roman" w:hAnsi="Times New Roman" w:cs="Times New Roman"/>
          <w:color w:val="000000" w:themeColor="text1"/>
        </w:rPr>
        <w:t xml:space="preserve">volontariste, potentiellement contestataire. </w:t>
      </w:r>
      <w:r w:rsidR="006F6329" w:rsidRPr="00264093">
        <w:rPr>
          <w:rFonts w:ascii="Times New Roman" w:hAnsi="Times New Roman" w:cs="Times New Roman"/>
          <w:color w:val="000000" w:themeColor="text1"/>
        </w:rPr>
        <w:t xml:space="preserve">A la simple distinction d’une pose sociale, plus ou moins affectée, s’ajoute </w:t>
      </w:r>
      <w:r w:rsidR="0000006D">
        <w:rPr>
          <w:rFonts w:ascii="Times New Roman" w:hAnsi="Times New Roman" w:cs="Times New Roman"/>
          <w:color w:val="000000" w:themeColor="text1"/>
        </w:rPr>
        <w:t xml:space="preserve">dans cette notion </w:t>
      </w:r>
      <w:r w:rsidR="006F6329" w:rsidRPr="00264093">
        <w:rPr>
          <w:rFonts w:ascii="Times New Roman" w:hAnsi="Times New Roman" w:cs="Times New Roman"/>
          <w:color w:val="000000" w:themeColor="text1"/>
        </w:rPr>
        <w:t xml:space="preserve">« la </w:t>
      </w:r>
      <w:r w:rsidR="006F6329" w:rsidRPr="00264093">
        <w:rPr>
          <w:rFonts w:ascii="Times New Roman" w:hAnsi="Times New Roman" w:cs="Times New Roman"/>
          <w:color w:val="000000" w:themeColor="text1"/>
          <w:shd w:val="clear" w:color="auto" w:fill="FFFFFF"/>
        </w:rPr>
        <w:t>logique d’une stratégie littéraire</w:t>
      </w:r>
      <w:r w:rsidR="00264093" w:rsidRPr="00264093">
        <w:rPr>
          <w:rStyle w:val="Appelnotedebasdep"/>
          <w:rFonts w:ascii="Times New Roman" w:hAnsi="Times New Roman" w:cs="Times New Roman"/>
          <w:color w:val="000000" w:themeColor="text1"/>
          <w:shd w:val="clear" w:color="auto" w:fill="FFFFFF"/>
        </w:rPr>
        <w:footnoteReference w:id="1"/>
      </w:r>
      <w:r w:rsidR="006F6329" w:rsidRPr="002640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» </w:t>
      </w:r>
      <w:r w:rsidR="005F1B65" w:rsidRPr="00264093">
        <w:rPr>
          <w:rFonts w:ascii="Times New Roman" w:hAnsi="Times New Roman" w:cs="Times New Roman"/>
          <w:color w:val="000000" w:themeColor="text1"/>
          <w:shd w:val="clear" w:color="auto" w:fill="FFFFFF"/>
        </w:rPr>
        <w:t>conduisant à affirmer que « l'image de soi donnée par un auteur est à mettre en relation avec sa conception de l'écriture</w:t>
      </w:r>
      <w:r w:rsidR="005F1B65" w:rsidRPr="00264093">
        <w:rPr>
          <w:rStyle w:val="Appelnotedebasdep"/>
          <w:rFonts w:ascii="Times New Roman" w:hAnsi="Times New Roman" w:cs="Times New Roman"/>
          <w:color w:val="000000" w:themeColor="text1"/>
          <w:shd w:val="clear" w:color="auto" w:fill="FFFFFF"/>
        </w:rPr>
        <w:footnoteReference w:id="2"/>
      </w:r>
      <w:r w:rsidR="005F1B65" w:rsidRPr="002640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». </w:t>
      </w:r>
      <w:r w:rsidR="00D35112">
        <w:rPr>
          <w:rFonts w:ascii="Times New Roman" w:hAnsi="Times New Roman" w:cs="Times New Roman"/>
          <w:color w:val="000000" w:themeColor="text1"/>
          <w:shd w:val="clear" w:color="auto" w:fill="FFFFFF"/>
        </w:rPr>
        <w:t>Manière d’être qui reconfigure la notion de style et oblige à penser d’une même lancée le corps social et le mouvement d’une écriture</w:t>
      </w:r>
      <w:r w:rsidR="00424C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comme lieu des percepts</w:t>
      </w:r>
      <w:r w:rsidR="00D3511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6598B002" w14:textId="3A3F1414" w:rsidR="009D2905" w:rsidRDefault="0093172C" w:rsidP="000B337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F1B65" w:rsidRPr="00264093">
        <w:rPr>
          <w:rFonts w:ascii="Times New Roman" w:hAnsi="Times New Roman" w:cs="Times New Roman"/>
          <w:color w:val="000000" w:themeColor="text1"/>
        </w:rPr>
        <w:t>a notion</w:t>
      </w:r>
      <w:r>
        <w:rPr>
          <w:rFonts w:ascii="Times New Roman" w:hAnsi="Times New Roman" w:cs="Times New Roman"/>
          <w:color w:val="000000" w:themeColor="text1"/>
        </w:rPr>
        <w:t>, r</w:t>
      </w:r>
      <w:r w:rsidRPr="002640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eprise </w:t>
      </w:r>
      <w:r w:rsidRPr="00264093">
        <w:rPr>
          <w:rFonts w:ascii="Times New Roman" w:hAnsi="Times New Roman" w:cs="Times New Roman"/>
          <w:color w:val="000000" w:themeColor="text1"/>
        </w:rPr>
        <w:t xml:space="preserve">notamment par Catherine </w:t>
      </w:r>
      <w:proofErr w:type="spellStart"/>
      <w:r w:rsidRPr="00264093">
        <w:rPr>
          <w:rFonts w:ascii="Times New Roman" w:hAnsi="Times New Roman" w:cs="Times New Roman"/>
          <w:color w:val="000000" w:themeColor="text1"/>
        </w:rPr>
        <w:t>Tauveron</w:t>
      </w:r>
      <w:proofErr w:type="spellEnd"/>
      <w:r w:rsidRPr="00264093">
        <w:rPr>
          <w:rFonts w:ascii="Times New Roman" w:hAnsi="Times New Roman" w:cs="Times New Roman"/>
          <w:color w:val="000000" w:themeColor="text1"/>
        </w:rPr>
        <w:t xml:space="preserve"> et Pierre Sève, </w:t>
      </w:r>
      <w:r w:rsidR="005F1B65" w:rsidRPr="00264093">
        <w:rPr>
          <w:rFonts w:ascii="Times New Roman" w:hAnsi="Times New Roman" w:cs="Times New Roman"/>
          <w:color w:val="000000" w:themeColor="text1"/>
        </w:rPr>
        <w:t xml:space="preserve">se dote </w:t>
      </w:r>
      <w:r w:rsidR="005F1B65" w:rsidRPr="00A42487">
        <w:rPr>
          <w:rFonts w:ascii="Times New Roman" w:hAnsi="Times New Roman" w:cs="Times New Roman"/>
        </w:rPr>
        <w:t xml:space="preserve">d’enjeux didactiques féconds pour situer </w:t>
      </w:r>
      <w:r w:rsidR="00A42487" w:rsidRPr="00A42487">
        <w:rPr>
          <w:rFonts w:ascii="Times New Roman" w:hAnsi="Times New Roman" w:cs="Times New Roman"/>
        </w:rPr>
        <w:t xml:space="preserve">le développement de l’écriture sur le </w:t>
      </w:r>
      <w:proofErr w:type="spellStart"/>
      <w:r w:rsidR="00A42487" w:rsidRPr="00A42487">
        <w:rPr>
          <w:rFonts w:ascii="Times New Roman" w:hAnsi="Times New Roman" w:cs="Times New Roman"/>
        </w:rPr>
        <w:t>mimème</w:t>
      </w:r>
      <w:proofErr w:type="spellEnd"/>
      <w:r w:rsidR="00524EEE">
        <w:rPr>
          <w:rStyle w:val="Appelnotedebasdep"/>
          <w:rFonts w:ascii="Times New Roman" w:hAnsi="Times New Roman" w:cs="Times New Roman"/>
        </w:rPr>
        <w:footnoteReference w:id="3"/>
      </w:r>
      <w:r w:rsidR="00524EEE">
        <w:rPr>
          <w:rFonts w:ascii="Times New Roman" w:hAnsi="Times New Roman" w:cs="Times New Roman"/>
        </w:rPr>
        <w:t xml:space="preserve"> </w:t>
      </w:r>
      <w:r w:rsidR="00A42487" w:rsidRPr="00A42487">
        <w:rPr>
          <w:rFonts w:ascii="Times New Roman" w:hAnsi="Times New Roman" w:cs="Times New Roman"/>
        </w:rPr>
        <w:t xml:space="preserve">d’une voix auctoriale, </w:t>
      </w:r>
      <w:r w:rsidR="005F1B65" w:rsidRPr="00A42487">
        <w:rPr>
          <w:rFonts w:ascii="Times New Roman" w:hAnsi="Times New Roman" w:cs="Times New Roman"/>
        </w:rPr>
        <w:t>embrayé</w:t>
      </w:r>
      <w:r w:rsidR="00A42487" w:rsidRPr="00A42487">
        <w:rPr>
          <w:rFonts w:ascii="Times New Roman" w:hAnsi="Times New Roman" w:cs="Times New Roman"/>
        </w:rPr>
        <w:t>e</w:t>
      </w:r>
      <w:r w:rsidR="005F1B65" w:rsidRPr="00A42487">
        <w:rPr>
          <w:rFonts w:ascii="Times New Roman" w:hAnsi="Times New Roman" w:cs="Times New Roman"/>
        </w:rPr>
        <w:t>, comme le disent les linguistes, sur une position énonciative</w:t>
      </w:r>
      <w:r w:rsidR="00A42487" w:rsidRPr="00A42487">
        <w:rPr>
          <w:rFonts w:ascii="Times New Roman" w:hAnsi="Times New Roman" w:cs="Times New Roman"/>
        </w:rPr>
        <w:t xml:space="preserve">. </w:t>
      </w:r>
      <w:r w:rsidR="00524EEE">
        <w:rPr>
          <w:rFonts w:ascii="Times New Roman" w:hAnsi="Times New Roman" w:cs="Times New Roman"/>
        </w:rPr>
        <w:t xml:space="preserve">L’idée d’une éducation à </w:t>
      </w:r>
      <w:r w:rsidR="0086578D">
        <w:rPr>
          <w:rFonts w:ascii="Times New Roman" w:hAnsi="Times New Roman" w:cs="Times New Roman"/>
        </w:rPr>
        <w:t>(</w:t>
      </w:r>
      <w:r w:rsidR="00524EEE">
        <w:rPr>
          <w:rFonts w:ascii="Times New Roman" w:hAnsi="Times New Roman" w:cs="Times New Roman"/>
        </w:rPr>
        <w:t>et par</w:t>
      </w:r>
      <w:r w:rsidR="0086578D">
        <w:rPr>
          <w:rFonts w:ascii="Times New Roman" w:hAnsi="Times New Roman" w:cs="Times New Roman"/>
        </w:rPr>
        <w:t>)</w:t>
      </w:r>
      <w:r w:rsidR="00524EEE">
        <w:rPr>
          <w:rFonts w:ascii="Times New Roman" w:hAnsi="Times New Roman" w:cs="Times New Roman"/>
        </w:rPr>
        <w:t xml:space="preserve"> l’adoption d’une voix auctoriale désigne ainsi une porte d’entrée </w:t>
      </w:r>
      <w:r>
        <w:rPr>
          <w:rFonts w:ascii="Times New Roman" w:hAnsi="Times New Roman" w:cs="Times New Roman"/>
        </w:rPr>
        <w:t>de choix p</w:t>
      </w:r>
      <w:r w:rsidR="00524EEE">
        <w:rPr>
          <w:rFonts w:ascii="Times New Roman" w:hAnsi="Times New Roman" w:cs="Times New Roman"/>
        </w:rPr>
        <w:t xml:space="preserve">our </w:t>
      </w:r>
      <w:r w:rsidRPr="009D2905">
        <w:rPr>
          <w:rFonts w:ascii="Times New Roman" w:hAnsi="Times New Roman" w:cs="Times New Roman"/>
        </w:rPr>
        <w:t>l’</w:t>
      </w:r>
      <w:r w:rsidR="0086578D" w:rsidRPr="009D2905">
        <w:rPr>
          <w:rFonts w:ascii="Times New Roman" w:hAnsi="Times New Roman" w:cs="Times New Roman"/>
        </w:rPr>
        <w:t xml:space="preserve">apprentissage </w:t>
      </w:r>
      <w:r w:rsidRPr="009D2905">
        <w:rPr>
          <w:rFonts w:ascii="Times New Roman" w:hAnsi="Times New Roman" w:cs="Times New Roman"/>
        </w:rPr>
        <w:t xml:space="preserve">de l’écriture, </w:t>
      </w:r>
      <w:r w:rsidR="0086578D" w:rsidRPr="009D2905">
        <w:rPr>
          <w:rFonts w:ascii="Times New Roman" w:hAnsi="Times New Roman" w:cs="Times New Roman"/>
        </w:rPr>
        <w:t xml:space="preserve">à haute valeur </w:t>
      </w:r>
      <w:r w:rsidR="00696C01" w:rsidRPr="009D2905">
        <w:rPr>
          <w:rFonts w:ascii="Times New Roman" w:hAnsi="Times New Roman" w:cs="Times New Roman"/>
        </w:rPr>
        <w:t>heuristique sur les processus littéraires</w:t>
      </w:r>
      <w:r w:rsidR="005E2325">
        <w:rPr>
          <w:rFonts w:ascii="Times New Roman" w:hAnsi="Times New Roman" w:cs="Times New Roman"/>
        </w:rPr>
        <w:t>. Elle en appelle</w:t>
      </w:r>
      <w:r w:rsidRPr="009D2905">
        <w:rPr>
          <w:rFonts w:ascii="Times New Roman" w:hAnsi="Times New Roman" w:cs="Times New Roman"/>
        </w:rPr>
        <w:t xml:space="preserve"> </w:t>
      </w:r>
      <w:r w:rsidR="005E2325">
        <w:rPr>
          <w:rFonts w:ascii="Times New Roman" w:hAnsi="Times New Roman" w:cs="Times New Roman"/>
        </w:rPr>
        <w:t>à</w:t>
      </w:r>
      <w:r w:rsidRPr="009D2905">
        <w:rPr>
          <w:rFonts w:ascii="Times New Roman" w:hAnsi="Times New Roman" w:cs="Times New Roman"/>
        </w:rPr>
        <w:t xml:space="preserve"> l’épanouissement d</w:t>
      </w:r>
      <w:r w:rsidR="009D2905">
        <w:rPr>
          <w:rFonts w:ascii="Times New Roman" w:hAnsi="Times New Roman" w:cs="Times New Roman"/>
        </w:rPr>
        <w:t>u</w:t>
      </w:r>
      <w:r w:rsidRPr="009D2905">
        <w:rPr>
          <w:rFonts w:ascii="Times New Roman" w:hAnsi="Times New Roman" w:cs="Times New Roman"/>
        </w:rPr>
        <w:t xml:space="preserve"> sujet</w:t>
      </w:r>
      <w:r w:rsidR="00140C6D" w:rsidRPr="009D2905">
        <w:rPr>
          <w:rFonts w:ascii="Times New Roman" w:hAnsi="Times New Roman" w:cs="Times New Roman"/>
        </w:rPr>
        <w:t xml:space="preserve"> </w:t>
      </w:r>
      <w:r w:rsidR="002A6426">
        <w:rPr>
          <w:rFonts w:ascii="Times New Roman" w:hAnsi="Times New Roman" w:cs="Times New Roman"/>
        </w:rPr>
        <w:t xml:space="preserve">dans un environnement </w:t>
      </w:r>
      <w:r w:rsidR="009F0530">
        <w:rPr>
          <w:rFonts w:ascii="Times New Roman" w:hAnsi="Times New Roman" w:cs="Times New Roman"/>
        </w:rPr>
        <w:t xml:space="preserve">dont il absorbe les </w:t>
      </w:r>
      <w:r w:rsidR="002A6426">
        <w:rPr>
          <w:rFonts w:ascii="Times New Roman" w:hAnsi="Times New Roman" w:cs="Times New Roman"/>
        </w:rPr>
        <w:t>contraint</w:t>
      </w:r>
      <w:r w:rsidR="009F0530">
        <w:rPr>
          <w:rFonts w:ascii="Times New Roman" w:hAnsi="Times New Roman" w:cs="Times New Roman"/>
        </w:rPr>
        <w:t>es et</w:t>
      </w:r>
      <w:r w:rsidR="005E2325">
        <w:rPr>
          <w:rFonts w:ascii="Times New Roman" w:hAnsi="Times New Roman" w:cs="Times New Roman"/>
        </w:rPr>
        <w:t xml:space="preserve"> fond</w:t>
      </w:r>
      <w:r w:rsidR="00C779A5">
        <w:rPr>
          <w:rFonts w:ascii="Times New Roman" w:hAnsi="Times New Roman" w:cs="Times New Roman"/>
        </w:rPr>
        <w:t>é</w:t>
      </w:r>
      <w:r w:rsidR="005E2325">
        <w:rPr>
          <w:rFonts w:ascii="Times New Roman" w:hAnsi="Times New Roman" w:cs="Times New Roman"/>
        </w:rPr>
        <w:t xml:space="preserve"> de manière fondamentale </w:t>
      </w:r>
      <w:r w:rsidR="009F0530">
        <w:rPr>
          <w:rFonts w:ascii="Times New Roman" w:hAnsi="Times New Roman" w:cs="Times New Roman"/>
        </w:rPr>
        <w:t xml:space="preserve">sur </w:t>
      </w:r>
      <w:r w:rsidR="009D2905">
        <w:rPr>
          <w:rFonts w:ascii="Times New Roman" w:hAnsi="Times New Roman" w:cs="Times New Roman"/>
        </w:rPr>
        <w:t>le sens profond qu’il trouve à écrire</w:t>
      </w:r>
      <w:r w:rsidRPr="009D2905">
        <w:rPr>
          <w:rFonts w:ascii="Times New Roman" w:hAnsi="Times New Roman" w:cs="Times New Roman"/>
        </w:rPr>
        <w:t xml:space="preserve">. </w:t>
      </w:r>
      <w:r w:rsidR="00AA4755">
        <w:rPr>
          <w:rFonts w:ascii="Times New Roman" w:hAnsi="Times New Roman" w:cs="Times New Roman"/>
        </w:rPr>
        <w:t>Ainsi la notion entre-</w:t>
      </w:r>
      <w:r w:rsidR="000D28EE">
        <w:rPr>
          <w:rFonts w:ascii="Times New Roman" w:hAnsi="Times New Roman" w:cs="Times New Roman"/>
        </w:rPr>
        <w:t>t</w:t>
      </w:r>
      <w:r w:rsidR="00AA4755">
        <w:rPr>
          <w:rFonts w:ascii="Times New Roman" w:hAnsi="Times New Roman" w:cs="Times New Roman"/>
        </w:rPr>
        <w:t>-elle en résonance avec</w:t>
      </w:r>
      <w:r w:rsidR="009D2905">
        <w:rPr>
          <w:rFonts w:ascii="Times New Roman" w:hAnsi="Times New Roman" w:cs="Times New Roman"/>
        </w:rPr>
        <w:t xml:space="preserve"> u</w:t>
      </w:r>
      <w:r w:rsidR="00140C6D" w:rsidRPr="009D2905">
        <w:rPr>
          <w:rFonts w:ascii="Times New Roman" w:hAnsi="Times New Roman" w:cs="Times New Roman"/>
        </w:rPr>
        <w:t>ne</w:t>
      </w:r>
      <w:r w:rsidRPr="009D2905">
        <w:rPr>
          <w:rFonts w:ascii="Times New Roman" w:hAnsi="Times New Roman" w:cs="Times New Roman"/>
        </w:rPr>
        <w:t xml:space="preserve"> lignée de </w:t>
      </w:r>
      <w:r w:rsidR="00140C6D" w:rsidRPr="009D2905">
        <w:rPr>
          <w:rFonts w:ascii="Times New Roman" w:hAnsi="Times New Roman" w:cs="Times New Roman"/>
        </w:rPr>
        <w:t xml:space="preserve">travaux </w:t>
      </w:r>
      <w:r w:rsidR="00AA4755">
        <w:rPr>
          <w:rFonts w:ascii="Times New Roman" w:hAnsi="Times New Roman" w:cs="Times New Roman"/>
        </w:rPr>
        <w:t xml:space="preserve">en didactique de l’écriture, </w:t>
      </w:r>
      <w:r w:rsidR="0056112F" w:rsidRPr="009D2905">
        <w:rPr>
          <w:rFonts w:ascii="Times New Roman" w:hAnsi="Times New Roman" w:cs="Times New Roman"/>
        </w:rPr>
        <w:t>développée</w:t>
      </w:r>
      <w:r w:rsidR="00140C6D" w:rsidRPr="009D2905">
        <w:rPr>
          <w:rFonts w:ascii="Times New Roman" w:hAnsi="Times New Roman" w:cs="Times New Roman"/>
        </w:rPr>
        <w:t xml:space="preserve"> par Christine Barré-De </w:t>
      </w:r>
      <w:proofErr w:type="spellStart"/>
      <w:r w:rsidR="00140C6D" w:rsidRPr="009D2905">
        <w:rPr>
          <w:rFonts w:ascii="Times New Roman" w:hAnsi="Times New Roman" w:cs="Times New Roman"/>
        </w:rPr>
        <w:t>Miniac</w:t>
      </w:r>
      <w:proofErr w:type="spellEnd"/>
      <w:r w:rsidR="00140C6D" w:rsidRPr="009D2905">
        <w:rPr>
          <w:rFonts w:ascii="Times New Roman" w:hAnsi="Times New Roman" w:cs="Times New Roman"/>
        </w:rPr>
        <w:t xml:space="preserve"> </w:t>
      </w:r>
      <w:r w:rsidR="0056112F" w:rsidRPr="009D2905">
        <w:rPr>
          <w:rFonts w:ascii="Times New Roman" w:hAnsi="Times New Roman" w:cs="Times New Roman"/>
        </w:rPr>
        <w:t xml:space="preserve">sous l’angle du </w:t>
      </w:r>
      <w:r w:rsidR="00140C6D" w:rsidRPr="009D2905">
        <w:rPr>
          <w:rFonts w:ascii="Times New Roman" w:hAnsi="Times New Roman" w:cs="Times New Roman"/>
        </w:rPr>
        <w:t>« rapport à », selon une logique « </w:t>
      </w:r>
      <w:r w:rsidRPr="009D2905">
        <w:rPr>
          <w:rFonts w:ascii="Times New Roman" w:hAnsi="Times New Roman" w:cs="Times New Roman"/>
          <w:color w:val="000000"/>
          <w:shd w:val="clear" w:color="auto" w:fill="FFFFFF"/>
        </w:rPr>
        <w:t>d’intériorisation et d’appropriation des données du contexte social et culturel</w:t>
      </w:r>
      <w:r w:rsidR="00140C6D" w:rsidRPr="009D2905">
        <w:rPr>
          <w:rStyle w:val="Appelnotedebasdep"/>
          <w:rFonts w:ascii="Times New Roman" w:hAnsi="Times New Roman" w:cs="Times New Roman"/>
          <w:color w:val="000000"/>
          <w:shd w:val="clear" w:color="auto" w:fill="FFFFFF"/>
        </w:rPr>
        <w:footnoteReference w:id="4"/>
      </w:r>
      <w:r w:rsidRPr="009D2905">
        <w:rPr>
          <w:rFonts w:ascii="Times New Roman" w:hAnsi="Times New Roman" w:cs="Times New Roman"/>
          <w:color w:val="000000"/>
          <w:shd w:val="clear" w:color="auto" w:fill="FFFFFF"/>
        </w:rPr>
        <w:t> »</w:t>
      </w:r>
      <w:r w:rsidR="00140C6D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60675E">
        <w:rPr>
          <w:rFonts w:ascii="Times New Roman" w:hAnsi="Times New Roman" w:cs="Times New Roman"/>
          <w:color w:val="000000"/>
          <w:shd w:val="clear" w:color="auto" w:fill="FFFFFF"/>
        </w:rPr>
        <w:t xml:space="preserve">puis </w:t>
      </w:r>
      <w:r w:rsidR="00140C6D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analysée par Marie-Claude </w:t>
      </w:r>
      <w:proofErr w:type="spellStart"/>
      <w:r w:rsidR="00140C6D" w:rsidRPr="009D2905">
        <w:rPr>
          <w:rFonts w:ascii="Times New Roman" w:hAnsi="Times New Roman" w:cs="Times New Roman"/>
          <w:color w:val="000000"/>
          <w:shd w:val="clear" w:color="auto" w:fill="FFFFFF"/>
        </w:rPr>
        <w:t>Penloup</w:t>
      </w:r>
      <w:proofErr w:type="spellEnd"/>
      <w:r w:rsidR="00140C6D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comme orientée par une ten</w:t>
      </w:r>
      <w:r w:rsidR="00696C01" w:rsidRPr="009D2905">
        <w:rPr>
          <w:rFonts w:ascii="Times New Roman" w:hAnsi="Times New Roman" w:cs="Times New Roman"/>
          <w:color w:val="000000"/>
          <w:shd w:val="clear" w:color="auto" w:fill="FFFFFF"/>
        </w:rPr>
        <w:t>tat</w:t>
      </w:r>
      <w:r w:rsidR="00140C6D" w:rsidRPr="009D2905">
        <w:rPr>
          <w:rFonts w:ascii="Times New Roman" w:hAnsi="Times New Roman" w:cs="Times New Roman"/>
          <w:color w:val="000000"/>
          <w:shd w:val="clear" w:color="auto" w:fill="FFFFFF"/>
        </w:rPr>
        <w:t>ion irréfrag</w:t>
      </w:r>
      <w:r w:rsidR="00696C01" w:rsidRPr="009D2905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140C6D" w:rsidRPr="009D2905">
        <w:rPr>
          <w:rFonts w:ascii="Times New Roman" w:hAnsi="Times New Roman" w:cs="Times New Roman"/>
          <w:color w:val="000000"/>
          <w:shd w:val="clear" w:color="auto" w:fill="FFFFFF"/>
        </w:rPr>
        <w:t>ble du littéraire</w:t>
      </w:r>
      <w:r w:rsidR="00696C01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partagée par</w:t>
      </w:r>
      <w:r w:rsidR="0056112F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4C82">
        <w:rPr>
          <w:rFonts w:ascii="Times New Roman" w:hAnsi="Times New Roman" w:cs="Times New Roman"/>
          <w:color w:val="000000"/>
          <w:shd w:val="clear" w:color="auto" w:fill="FFFFFF"/>
        </w:rPr>
        <w:t xml:space="preserve">tous </w:t>
      </w:r>
      <w:r w:rsidR="00696C01" w:rsidRPr="009D2905">
        <w:rPr>
          <w:rFonts w:ascii="Times New Roman" w:hAnsi="Times New Roman" w:cs="Times New Roman"/>
          <w:color w:val="000000"/>
          <w:shd w:val="clear" w:color="auto" w:fill="FFFFFF"/>
        </w:rPr>
        <w:t>les scripteurs</w:t>
      </w:r>
      <w:r w:rsidR="00696C01" w:rsidRPr="009D2905">
        <w:rPr>
          <w:rStyle w:val="Appelnotedebasdep"/>
          <w:rFonts w:ascii="Times New Roman" w:hAnsi="Times New Roman" w:cs="Times New Roman"/>
          <w:color w:val="000000"/>
          <w:shd w:val="clear" w:color="auto" w:fill="FFFFFF"/>
        </w:rPr>
        <w:footnoteReference w:id="5"/>
      </w:r>
      <w:r w:rsidR="00696C01" w:rsidRPr="009D290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6112F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0006D">
        <w:rPr>
          <w:rFonts w:ascii="Times New Roman" w:hAnsi="Times New Roman" w:cs="Times New Roman"/>
          <w:color w:val="000000"/>
          <w:shd w:val="clear" w:color="auto" w:fill="FFFFFF"/>
        </w:rPr>
        <w:t>et</w:t>
      </w:r>
      <w:r w:rsidR="0056112F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encore </w:t>
      </w:r>
      <w:r w:rsidR="009D2905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caractérisée par François Le Goff ou </w:t>
      </w:r>
      <w:r w:rsidR="009D2905">
        <w:rPr>
          <w:rFonts w:ascii="Times New Roman" w:hAnsi="Times New Roman" w:cs="Times New Roman"/>
          <w:color w:val="000000"/>
          <w:shd w:val="clear" w:color="auto" w:fill="FFFFFF"/>
        </w:rPr>
        <w:t>V</w:t>
      </w:r>
      <w:r w:rsidR="009D2905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éronique </w:t>
      </w:r>
      <w:proofErr w:type="spellStart"/>
      <w:r w:rsidR="009D2905" w:rsidRPr="009D2905">
        <w:rPr>
          <w:rFonts w:ascii="Times New Roman" w:hAnsi="Times New Roman" w:cs="Times New Roman"/>
          <w:color w:val="000000"/>
          <w:shd w:val="clear" w:color="auto" w:fill="FFFFFF"/>
        </w:rPr>
        <w:t>Larrivé</w:t>
      </w:r>
      <w:proofErr w:type="spellEnd"/>
      <w:r w:rsidR="009D2905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selon des régimes</w:t>
      </w:r>
      <w:r w:rsidR="00875CC5">
        <w:rPr>
          <w:rFonts w:ascii="Times New Roman" w:hAnsi="Times New Roman" w:cs="Times New Roman"/>
          <w:color w:val="000000"/>
          <w:shd w:val="clear" w:color="auto" w:fill="FFFFFF"/>
        </w:rPr>
        <w:t xml:space="preserve"> sensibles</w:t>
      </w:r>
      <w:r w:rsidR="009D2905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de temporalité</w:t>
      </w:r>
      <w:r w:rsidR="00875CC5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9D2905" w:rsidRPr="009D29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675E">
        <w:rPr>
          <w:rFonts w:ascii="Times New Roman" w:hAnsi="Times New Roman" w:cs="Times New Roman"/>
          <w:color w:val="000000"/>
          <w:shd w:val="clear" w:color="auto" w:fill="FFFFFF"/>
        </w:rPr>
        <w:t>qui en accentue</w:t>
      </w:r>
      <w:r w:rsidR="00AA4755">
        <w:rPr>
          <w:rFonts w:ascii="Times New Roman" w:hAnsi="Times New Roman" w:cs="Times New Roman"/>
          <w:color w:val="000000"/>
          <w:shd w:val="clear" w:color="auto" w:fill="FFFFFF"/>
        </w:rPr>
        <w:t>nt</w:t>
      </w:r>
      <w:r w:rsidR="0060675E">
        <w:rPr>
          <w:rFonts w:ascii="Times New Roman" w:hAnsi="Times New Roman" w:cs="Times New Roman"/>
          <w:color w:val="000000"/>
          <w:shd w:val="clear" w:color="auto" w:fill="FFFFFF"/>
        </w:rPr>
        <w:t xml:space="preserve"> le caractère processuel</w:t>
      </w:r>
      <w:r w:rsidR="0060675E">
        <w:rPr>
          <w:rStyle w:val="Appelnotedebasdep"/>
          <w:rFonts w:ascii="Times New Roman" w:hAnsi="Times New Roman" w:cs="Times New Roman"/>
          <w:color w:val="000000"/>
          <w:shd w:val="clear" w:color="auto" w:fill="FFFFFF"/>
        </w:rPr>
        <w:footnoteReference w:id="6"/>
      </w:r>
      <w:r w:rsidR="009A52B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5E2325">
        <w:rPr>
          <w:rFonts w:ascii="Times New Roman" w:hAnsi="Times New Roman" w:cs="Times New Roman"/>
          <w:color w:val="000000"/>
          <w:shd w:val="clear" w:color="auto" w:fill="FFFFFF"/>
        </w:rPr>
        <w:t>choisissant la variation et la récursivité pour cette reconfiguration artistique que John Dewey place dans le fil du</w:t>
      </w:r>
      <w:r w:rsidR="009A52BB">
        <w:rPr>
          <w:rFonts w:ascii="Times New Roman" w:hAnsi="Times New Roman" w:cs="Times New Roman"/>
          <w:color w:val="000000"/>
          <w:shd w:val="clear" w:color="auto" w:fill="FFFFFF"/>
        </w:rPr>
        <w:t xml:space="preserve"> flux continu expérientiel</w:t>
      </w:r>
      <w:r w:rsidR="00900359">
        <w:rPr>
          <w:rStyle w:val="Appelnotedebasdep"/>
          <w:rFonts w:ascii="Times New Roman" w:hAnsi="Times New Roman" w:cs="Times New Roman"/>
          <w:color w:val="000000"/>
          <w:shd w:val="clear" w:color="auto" w:fill="FFFFFF"/>
        </w:rPr>
        <w:footnoteReference w:id="7"/>
      </w:r>
      <w:r w:rsidR="005E232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B127E2" w14:textId="77777777" w:rsidR="000D28EE" w:rsidRDefault="000D28EE" w:rsidP="000B337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9911CAE" w14:textId="4D00AECD" w:rsidR="000D28EE" w:rsidRDefault="000D28EE" w:rsidP="000B33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que devient une telle notion dans le milieu d’écriture-lecture qui est aujourd’hui indéniablement un milieu numérique</w:t>
      </w:r>
      <w:r>
        <w:rPr>
          <w:rStyle w:val="Appelnotedebasdep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? Peut-on parler de posture d’auteur numérique, éventuellement différente ou ajoutant des paramètres à sa caractérisation ? Et </w:t>
      </w:r>
      <w:proofErr w:type="gramStart"/>
      <w:r>
        <w:rPr>
          <w:rFonts w:ascii="Times New Roman" w:hAnsi="Times New Roman" w:cs="Times New Roman"/>
        </w:rPr>
        <w:lastRenderedPageBreak/>
        <w:t>l’arrivée</w:t>
      </w:r>
      <w:proofErr w:type="gramEnd"/>
      <w:r>
        <w:rPr>
          <w:rFonts w:ascii="Times New Roman" w:hAnsi="Times New Roman" w:cs="Times New Roman"/>
        </w:rPr>
        <w:t xml:space="preserve"> en masse des intelligences artificielles génératives changent-elles la donne </w:t>
      </w:r>
      <w:r w:rsidR="00875CC5">
        <w:rPr>
          <w:rFonts w:ascii="Times New Roman" w:hAnsi="Times New Roman" w:cs="Times New Roman"/>
        </w:rPr>
        <w:t>de sa saisie, de même que la possibilité de déploiement de réalités virtuelles ?</w:t>
      </w:r>
    </w:p>
    <w:p w14:paraId="4AD32BFA" w14:textId="77777777" w:rsidR="00875CC5" w:rsidRDefault="00875CC5" w:rsidP="000B3378">
      <w:pPr>
        <w:ind w:firstLine="567"/>
        <w:jc w:val="both"/>
        <w:rPr>
          <w:rFonts w:ascii="Times New Roman" w:hAnsi="Times New Roman" w:cs="Times New Roman"/>
        </w:rPr>
      </w:pPr>
    </w:p>
    <w:p w14:paraId="0D7433AE" w14:textId="2A22D55B" w:rsidR="006F77E8" w:rsidRDefault="00875CC5" w:rsidP="000B33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examiner la nature des changements </w:t>
      </w:r>
      <w:r w:rsidR="006F77E8">
        <w:rPr>
          <w:rFonts w:ascii="Times New Roman" w:hAnsi="Times New Roman" w:cs="Times New Roman"/>
        </w:rPr>
        <w:t xml:space="preserve">engendrés par les pratiques numériques sur la posture d’auteur, nous proposons trois angles d’approche : </w:t>
      </w:r>
    </w:p>
    <w:p w14:paraId="5F138FB4" w14:textId="1DA40ECF" w:rsidR="006D7E72" w:rsidRDefault="00254FC8" w:rsidP="005367ED">
      <w:pPr>
        <w:pStyle w:val="Paragraphedeliste"/>
        <w:numPr>
          <w:ilvl w:val="0"/>
          <w:numId w:val="8"/>
        </w:numPr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254FC8">
        <w:rPr>
          <w:rFonts w:ascii="Times New Roman" w:hAnsi="Times New Roman" w:cs="Times New Roman"/>
          <w:b/>
          <w:bCs/>
        </w:rPr>
        <w:t>La</w:t>
      </w:r>
      <w:r w:rsidR="006F77E8" w:rsidRPr="00254FC8">
        <w:rPr>
          <w:rFonts w:ascii="Times New Roman" w:hAnsi="Times New Roman" w:cs="Times New Roman"/>
          <w:b/>
          <w:bCs/>
        </w:rPr>
        <w:t xml:space="preserve"> création multimodale</w:t>
      </w:r>
      <w:r w:rsidR="006F77E8">
        <w:rPr>
          <w:rFonts w:ascii="Times New Roman" w:hAnsi="Times New Roman" w:cs="Times New Roman"/>
        </w:rPr>
        <w:t xml:space="preserve"> et l’appel possible à des postures artistiques en dehors du champ littéraire : </w:t>
      </w:r>
    </w:p>
    <w:p w14:paraId="1569C4ED" w14:textId="714C0A04" w:rsidR="006F77E8" w:rsidRDefault="006F77E8" w:rsidP="006D7E72">
      <w:pPr>
        <w:pStyle w:val="Paragraphedeliste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généralisation d’écritures digitales convoquant image, texte et son, sur des modes d’hybridation des usages, n’induit-elle pas </w:t>
      </w:r>
      <w:r w:rsidR="00C779A5">
        <w:rPr>
          <w:rFonts w:ascii="Times New Roman" w:hAnsi="Times New Roman" w:cs="Times New Roman"/>
        </w:rPr>
        <w:t>un déplacement générique de la littérature aux « arts littéraires</w:t>
      </w:r>
      <w:r w:rsidR="00C779A5">
        <w:rPr>
          <w:rStyle w:val="Appelnotedebasdep"/>
          <w:rFonts w:ascii="Times New Roman" w:hAnsi="Times New Roman" w:cs="Times New Roman"/>
        </w:rPr>
        <w:footnoteReference w:id="9"/>
      </w:r>
      <w:r w:rsidR="00C779A5">
        <w:rPr>
          <w:rFonts w:ascii="Times New Roman" w:hAnsi="Times New Roman" w:cs="Times New Roman"/>
        </w:rPr>
        <w:t xml:space="preserve"> » ? </w:t>
      </w:r>
      <w:r>
        <w:rPr>
          <w:rFonts w:ascii="Times New Roman" w:hAnsi="Times New Roman" w:cs="Times New Roman"/>
        </w:rPr>
        <w:t>un assemblage de références à des traditions artistiques différentes</w:t>
      </w:r>
      <w:r w:rsidR="00660BE6">
        <w:rPr>
          <w:rFonts w:ascii="Times New Roman" w:hAnsi="Times New Roman" w:cs="Times New Roman"/>
        </w:rPr>
        <w:t xml:space="preserve"> et un cadre théorique plus phénoménologique qu’herméneutique</w:t>
      </w:r>
      <w:r>
        <w:rPr>
          <w:rFonts w:ascii="Times New Roman" w:hAnsi="Times New Roman" w:cs="Times New Roman"/>
        </w:rPr>
        <w:t xml:space="preserve"> ? La posture d’écrivain jonglant avec les </w:t>
      </w:r>
      <w:r w:rsidR="00892286">
        <w:rPr>
          <w:rFonts w:ascii="Times New Roman" w:hAnsi="Times New Roman" w:cs="Times New Roman"/>
        </w:rPr>
        <w:t>formats</w:t>
      </w:r>
      <w:r>
        <w:rPr>
          <w:rFonts w:ascii="Times New Roman" w:hAnsi="Times New Roman" w:cs="Times New Roman"/>
        </w:rPr>
        <w:t xml:space="preserve"> et les langages numériques</w:t>
      </w:r>
      <w:r w:rsidR="00892286">
        <w:rPr>
          <w:rFonts w:ascii="Times New Roman" w:hAnsi="Times New Roman" w:cs="Times New Roman"/>
        </w:rPr>
        <w:t xml:space="preserve"> n’est-elle pas finalement plus proche de celle de l’artiste plasticien ou du musicien improvisateur</w:t>
      </w:r>
      <w:r w:rsidR="00FF7FF9">
        <w:rPr>
          <w:rFonts w:ascii="Times New Roman" w:hAnsi="Times New Roman" w:cs="Times New Roman"/>
        </w:rPr>
        <w:t xml:space="preserve">, voire du danseur agissant dans un espace-temps qu’il reconfigure à </w:t>
      </w:r>
      <w:r w:rsidR="009B47A5">
        <w:rPr>
          <w:rFonts w:ascii="Times New Roman" w:hAnsi="Times New Roman" w:cs="Times New Roman"/>
        </w:rPr>
        <w:t>sa manière</w:t>
      </w:r>
      <w:r w:rsidR="00892286">
        <w:rPr>
          <w:rFonts w:ascii="Times New Roman" w:hAnsi="Times New Roman" w:cs="Times New Roman"/>
        </w:rPr>
        <w:t> ? N’y a-t-il pas</w:t>
      </w:r>
      <w:r w:rsidR="006D7E72">
        <w:rPr>
          <w:rFonts w:ascii="Times New Roman" w:hAnsi="Times New Roman" w:cs="Times New Roman"/>
        </w:rPr>
        <w:t xml:space="preserve"> également</w:t>
      </w:r>
      <w:r w:rsidR="00892286">
        <w:rPr>
          <w:rFonts w:ascii="Times New Roman" w:hAnsi="Times New Roman" w:cs="Times New Roman"/>
        </w:rPr>
        <w:t xml:space="preserve">, dans la concomitance de l’écriture et de sa diffusion publique sur le net, quelque savoir-faire emblématique </w:t>
      </w:r>
      <w:r w:rsidR="00892286" w:rsidRPr="00892286">
        <w:rPr>
          <w:rFonts w:ascii="Times New Roman" w:hAnsi="Times New Roman" w:cs="Times New Roman"/>
        </w:rPr>
        <w:t>du performeur, habitué aux interactions</w:t>
      </w:r>
      <w:r w:rsidR="00892286">
        <w:rPr>
          <w:rFonts w:ascii="Times New Roman" w:hAnsi="Times New Roman" w:cs="Times New Roman"/>
        </w:rPr>
        <w:t xml:space="preserve"> et au développement du texte sur des principes d’action-réaction</w:t>
      </w:r>
      <w:r w:rsidR="006D7E72">
        <w:rPr>
          <w:rFonts w:ascii="Times New Roman" w:hAnsi="Times New Roman" w:cs="Times New Roman"/>
        </w:rPr>
        <w:t> ?</w:t>
      </w:r>
    </w:p>
    <w:p w14:paraId="2B4BE5E8" w14:textId="14228739" w:rsidR="006D7E72" w:rsidRDefault="00254FC8" w:rsidP="005367ED">
      <w:pPr>
        <w:pStyle w:val="Paragraphedeliste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54FC8">
        <w:rPr>
          <w:rFonts w:ascii="Times New Roman" w:hAnsi="Times New Roman" w:cs="Times New Roman"/>
          <w:b/>
          <w:bCs/>
        </w:rPr>
        <w:t>La</w:t>
      </w:r>
      <w:r w:rsidR="00E45264" w:rsidRPr="00254FC8">
        <w:rPr>
          <w:rFonts w:ascii="Times New Roman" w:hAnsi="Times New Roman" w:cs="Times New Roman"/>
          <w:b/>
          <w:bCs/>
        </w:rPr>
        <w:t xml:space="preserve"> mise en scène de soi</w:t>
      </w:r>
      <w:r w:rsidR="00E45264">
        <w:rPr>
          <w:rFonts w:ascii="Times New Roman" w:hAnsi="Times New Roman" w:cs="Times New Roman"/>
        </w:rPr>
        <w:t xml:space="preserve"> comme pratique sociale ordinaire, s’écartant de l’idée d’une expertise artistique : </w:t>
      </w:r>
    </w:p>
    <w:p w14:paraId="68393E3C" w14:textId="1E3B709B" w:rsidR="00E45264" w:rsidRPr="00892286" w:rsidRDefault="00E45264" w:rsidP="006D7E72">
      <w:pPr>
        <w:pStyle w:val="Paragraphedeliste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pratique d’une écriture du quotidien sur le net semble acter le caractère désormais banal de ce que la « posture d’auteur » avait l’habitude de désigner comme scénographie tapageuse des identités. </w:t>
      </w:r>
      <w:r w:rsidR="008A1D83">
        <w:rPr>
          <w:rFonts w:ascii="Times New Roman" w:hAnsi="Times New Roman" w:cs="Times New Roman"/>
        </w:rPr>
        <w:t xml:space="preserve">Faut-il </w:t>
      </w:r>
      <w:r w:rsidR="00EE58C3">
        <w:rPr>
          <w:rFonts w:ascii="Times New Roman" w:hAnsi="Times New Roman" w:cs="Times New Roman"/>
        </w:rPr>
        <w:t xml:space="preserve">persister à </w:t>
      </w:r>
      <w:r w:rsidR="008A1D83">
        <w:rPr>
          <w:rFonts w:ascii="Times New Roman" w:hAnsi="Times New Roman" w:cs="Times New Roman"/>
        </w:rPr>
        <w:t>ne reconnaître qu’aux pratiques lettrées, adossées à une bibliothèque</w:t>
      </w:r>
      <w:r w:rsidR="0000006D">
        <w:rPr>
          <w:rFonts w:ascii="Times New Roman" w:hAnsi="Times New Roman" w:cs="Times New Roman"/>
        </w:rPr>
        <w:t xml:space="preserve"> et des logiques éditoriales électives</w:t>
      </w:r>
      <w:r w:rsidR="008A1D83">
        <w:rPr>
          <w:rFonts w:ascii="Times New Roman" w:hAnsi="Times New Roman" w:cs="Times New Roman"/>
        </w:rPr>
        <w:t>, la capacité de</w:t>
      </w:r>
      <w:r w:rsidR="0000006D">
        <w:rPr>
          <w:rFonts w:ascii="Times New Roman" w:hAnsi="Times New Roman" w:cs="Times New Roman"/>
        </w:rPr>
        <w:t xml:space="preserve"> bâtir </w:t>
      </w:r>
      <w:r w:rsidR="008A1D83">
        <w:rPr>
          <w:rFonts w:ascii="Times New Roman" w:hAnsi="Times New Roman" w:cs="Times New Roman"/>
        </w:rPr>
        <w:t xml:space="preserve">une posture d’auteur ? Et </w:t>
      </w:r>
      <w:r w:rsidR="001C6411">
        <w:rPr>
          <w:rFonts w:ascii="Times New Roman" w:hAnsi="Times New Roman" w:cs="Times New Roman"/>
        </w:rPr>
        <w:t xml:space="preserve">quel sens peut avoir </w:t>
      </w:r>
      <w:r w:rsidR="008A1D83">
        <w:rPr>
          <w:rFonts w:ascii="Times New Roman" w:hAnsi="Times New Roman" w:cs="Times New Roman"/>
        </w:rPr>
        <w:t xml:space="preserve">cette posture </w:t>
      </w:r>
      <w:r w:rsidR="00C750D2">
        <w:rPr>
          <w:rFonts w:ascii="Times New Roman" w:hAnsi="Times New Roman" w:cs="Times New Roman"/>
        </w:rPr>
        <w:t xml:space="preserve">si l’on s’en tient à des imaginaires ou des représentations nativement numériques ? </w:t>
      </w:r>
      <w:r w:rsidR="007C12E4">
        <w:rPr>
          <w:rFonts w:ascii="Times New Roman" w:hAnsi="Times New Roman" w:cs="Times New Roman"/>
        </w:rPr>
        <w:t xml:space="preserve">L’auteur numérique est-il amené à déployer un autre rapport à l’écriture et, paradoxalement pour le glissement dans un monde virtuel, n’engage-t-il pas une expérience perceptive </w:t>
      </w:r>
      <w:r w:rsidR="00877B80">
        <w:rPr>
          <w:rFonts w:ascii="Times New Roman" w:hAnsi="Times New Roman" w:cs="Times New Roman"/>
        </w:rPr>
        <w:t xml:space="preserve">qui enrôle l’expression verbale dans un paradigme </w:t>
      </w:r>
      <w:proofErr w:type="spellStart"/>
      <w:r w:rsidR="00877B80">
        <w:rPr>
          <w:rFonts w:ascii="Times New Roman" w:hAnsi="Times New Roman" w:cs="Times New Roman"/>
        </w:rPr>
        <w:t>énactif</w:t>
      </w:r>
      <w:proofErr w:type="spellEnd"/>
      <w:r w:rsidR="00877B80">
        <w:rPr>
          <w:rFonts w:ascii="Times New Roman" w:hAnsi="Times New Roman" w:cs="Times New Roman"/>
        </w:rPr>
        <w:t> inattendu ?</w:t>
      </w:r>
      <w:r w:rsidR="007C12E4">
        <w:rPr>
          <w:rFonts w:ascii="Times New Roman" w:hAnsi="Times New Roman" w:cs="Times New Roman"/>
        </w:rPr>
        <w:t xml:space="preserve"> </w:t>
      </w:r>
    </w:p>
    <w:p w14:paraId="7FAE715F" w14:textId="77777777" w:rsidR="00633921" w:rsidRDefault="00892286" w:rsidP="005367ED">
      <w:pPr>
        <w:pStyle w:val="Paragraphedeliste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54FC8">
        <w:rPr>
          <w:rFonts w:ascii="Times New Roman" w:hAnsi="Times New Roman" w:cs="Times New Roman"/>
          <w:b/>
          <w:bCs/>
        </w:rPr>
        <w:t>La délégation d’écriture</w:t>
      </w:r>
      <w:r>
        <w:rPr>
          <w:rFonts w:ascii="Times New Roman" w:hAnsi="Times New Roman" w:cs="Times New Roman"/>
        </w:rPr>
        <w:t xml:space="preserve"> </w:t>
      </w:r>
      <w:r w:rsidR="00E45264">
        <w:rPr>
          <w:rFonts w:ascii="Times New Roman" w:hAnsi="Times New Roman" w:cs="Times New Roman"/>
        </w:rPr>
        <w:t>en jeu</w:t>
      </w:r>
      <w:r>
        <w:rPr>
          <w:rFonts w:ascii="Times New Roman" w:hAnsi="Times New Roman" w:cs="Times New Roman"/>
        </w:rPr>
        <w:t xml:space="preserve"> lors de la rédaction de commandes à la machine</w:t>
      </w:r>
      <w:r w:rsidR="00AA7564">
        <w:rPr>
          <w:rFonts w:ascii="Times New Roman" w:hAnsi="Times New Roman" w:cs="Times New Roman"/>
        </w:rPr>
        <w:t xml:space="preserve"> : </w:t>
      </w:r>
    </w:p>
    <w:p w14:paraId="4E0E5ABB" w14:textId="3ADB0D0F" w:rsidR="00741B8C" w:rsidRDefault="00AA7564" w:rsidP="00741B8C">
      <w:pPr>
        <w:pStyle w:val="Paragraphedeliste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</w:rPr>
        <w:t>peut</w:t>
      </w:r>
      <w:proofErr w:type="gramEnd"/>
      <w:r>
        <w:rPr>
          <w:rFonts w:ascii="Times New Roman" w:hAnsi="Times New Roman" w:cs="Times New Roman"/>
        </w:rPr>
        <w:t>-on encore parler de posture d’auteur quand ce qui est écrit se trouve généré automatiquement ? Ne faut-il pas inventer des niveaux intermédiaires à la désignation d’une posture d’auteur, incluant des auteurs seconds ou des beta-auteurs et réparti</w:t>
      </w:r>
      <w:r w:rsidR="0063392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6339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es niveaux de responsabilité du texte ? </w:t>
      </w:r>
      <w:r w:rsidR="006D7E72">
        <w:rPr>
          <w:rFonts w:ascii="Times New Roman" w:hAnsi="Times New Roman" w:cs="Times New Roman"/>
        </w:rPr>
        <w:t>Et que devient dès lors l</w:t>
      </w:r>
      <w:proofErr w:type="gramStart"/>
      <w:r w:rsidR="005367ED">
        <w:rPr>
          <w:rFonts w:ascii="Times New Roman" w:hAnsi="Times New Roman" w:cs="Times New Roman"/>
        </w:rPr>
        <w:t>’</w:t>
      </w:r>
      <w:r w:rsidR="006D7E72">
        <w:rPr>
          <w:rFonts w:ascii="Times New Roman" w:hAnsi="Times New Roman" w:cs="Times New Roman"/>
        </w:rPr>
        <w:t>«</w:t>
      </w:r>
      <w:proofErr w:type="gramEnd"/>
      <w:r w:rsidR="006D7E72">
        <w:rPr>
          <w:rFonts w:ascii="Times New Roman" w:hAnsi="Times New Roman" w:cs="Times New Roman"/>
        </w:rPr>
        <w:t> </w:t>
      </w:r>
      <w:proofErr w:type="spellStart"/>
      <w:r w:rsidR="006D7E72">
        <w:rPr>
          <w:rFonts w:ascii="Times New Roman" w:hAnsi="Times New Roman" w:cs="Times New Roman"/>
        </w:rPr>
        <w:t>auctorialité</w:t>
      </w:r>
      <w:proofErr w:type="spellEnd"/>
      <w:r w:rsidR="006D7E72">
        <w:rPr>
          <w:rFonts w:ascii="Times New Roman" w:hAnsi="Times New Roman" w:cs="Times New Roman"/>
        </w:rPr>
        <w:t> », au sens littéral</w:t>
      </w:r>
      <w:r w:rsidR="00124674">
        <w:rPr>
          <w:rFonts w:ascii="Times New Roman" w:hAnsi="Times New Roman" w:cs="Times New Roman"/>
        </w:rPr>
        <w:t xml:space="preserve"> en lien avec l’autorité</w:t>
      </w:r>
      <w:r w:rsidR="005367ED">
        <w:rPr>
          <w:rStyle w:val="Appelnotedebasdep"/>
          <w:rFonts w:ascii="Times New Roman" w:hAnsi="Times New Roman" w:cs="Times New Roman"/>
        </w:rPr>
        <w:footnoteReference w:id="10"/>
      </w:r>
      <w:r w:rsidR="006D7E72">
        <w:rPr>
          <w:rFonts w:ascii="Times New Roman" w:hAnsi="Times New Roman" w:cs="Times New Roman"/>
        </w:rPr>
        <w:t xml:space="preserve">, dans cette perspective ? </w:t>
      </w:r>
      <w:r w:rsidR="00741B8C">
        <w:rPr>
          <w:rFonts w:ascii="Times New Roman" w:hAnsi="Times New Roman" w:cs="Times New Roman"/>
        </w:rPr>
        <w:t>Dans l</w:t>
      </w:r>
      <w:r w:rsidR="005F57E1">
        <w:rPr>
          <w:rFonts w:ascii="Times New Roman" w:hAnsi="Times New Roman" w:cs="Times New Roman"/>
        </w:rPr>
        <w:t xml:space="preserve">’horizon d’une </w:t>
      </w:r>
      <w:proofErr w:type="spellStart"/>
      <w:r w:rsidR="005F57E1">
        <w:rPr>
          <w:rFonts w:ascii="Times New Roman" w:hAnsi="Times New Roman" w:cs="Times New Roman"/>
        </w:rPr>
        <w:t>technogenèse</w:t>
      </w:r>
      <w:proofErr w:type="spellEnd"/>
      <w:r w:rsidR="005F57E1">
        <w:rPr>
          <w:rFonts w:ascii="Times New Roman" w:hAnsi="Times New Roman" w:cs="Times New Roman"/>
        </w:rPr>
        <w:t xml:space="preserve"> assumée, l’écriture reste-t-elle </w:t>
      </w:r>
      <w:r w:rsidR="00741B8C">
        <w:rPr>
          <w:rFonts w:ascii="Times New Roman" w:hAnsi="Times New Roman" w:cs="Times New Roman"/>
        </w:rPr>
        <w:t>ancrée au sujet individuel ou demande-t-elle à penser plus avant un commun des représentations et des expériences langagières, suivant l’idée que</w:t>
      </w:r>
      <w:r w:rsidR="000B3378">
        <w:rPr>
          <w:rFonts w:ascii="Times New Roman" w:hAnsi="Times New Roman" w:cs="Times New Roman"/>
        </w:rPr>
        <w:t xml:space="preserve"> </w:t>
      </w:r>
      <w:r w:rsidR="00741B8C" w:rsidRPr="00254FC8">
        <w:rPr>
          <w:rFonts w:ascii="Times New Roman" w:hAnsi="Times New Roman" w:cs="Times New Roman"/>
          <w:color w:val="000000"/>
          <w:shd w:val="clear" w:color="auto" w:fill="FFFFFF"/>
        </w:rPr>
        <w:t xml:space="preserve">« c’est par l’action de </w:t>
      </w:r>
      <w:proofErr w:type="spellStart"/>
      <w:r w:rsidR="00741B8C" w:rsidRPr="00254FC8">
        <w:rPr>
          <w:rFonts w:ascii="Times New Roman" w:hAnsi="Times New Roman" w:cs="Times New Roman"/>
          <w:color w:val="000000"/>
          <w:shd w:val="clear" w:color="auto" w:fill="FFFFFF"/>
        </w:rPr>
        <w:t>langager</w:t>
      </w:r>
      <w:proofErr w:type="spellEnd"/>
      <w:r w:rsidR="00741B8C" w:rsidRPr="00254FC8">
        <w:rPr>
          <w:rFonts w:ascii="Times New Roman" w:hAnsi="Times New Roman" w:cs="Times New Roman"/>
          <w:color w:val="000000"/>
          <w:shd w:val="clear" w:color="auto" w:fill="FFFFFF"/>
        </w:rPr>
        <w:t xml:space="preserve"> que nous faisons émerger un monde commun</w:t>
      </w:r>
      <w:r w:rsidR="00741B8C" w:rsidRPr="00254FC8">
        <w:rPr>
          <w:rStyle w:val="Appelnotedebasdep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="00741B8C" w:rsidRPr="00254FC8">
        <w:rPr>
          <w:rFonts w:ascii="Times New Roman" w:hAnsi="Times New Roman" w:cs="Times New Roman"/>
          <w:color w:val="000000"/>
          <w:shd w:val="clear" w:color="auto" w:fill="FFFFFF"/>
        </w:rPr>
        <w:t> »</w:t>
      </w:r>
      <w:r w:rsidR="00741B8C">
        <w:rPr>
          <w:rFonts w:ascii="Times New Roman" w:hAnsi="Times New Roman" w:cs="Times New Roman"/>
          <w:color w:val="000000"/>
          <w:shd w:val="clear" w:color="auto" w:fill="FFFFFF"/>
        </w:rPr>
        <w:t xml:space="preserve"> ? </w:t>
      </w:r>
    </w:p>
    <w:p w14:paraId="2C019016" w14:textId="77777777" w:rsidR="007E20F0" w:rsidRDefault="007E20F0" w:rsidP="00741B8C">
      <w:pPr>
        <w:pStyle w:val="Paragraphedeliste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856462" w14:textId="77777777" w:rsidR="007E20F0" w:rsidRDefault="007E20F0" w:rsidP="00741B8C">
      <w:pPr>
        <w:pStyle w:val="Paragraphedeliste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23696D4" w14:textId="2A4F53FE" w:rsidR="007E20F0" w:rsidRPr="00254FC8" w:rsidRDefault="007E20F0" w:rsidP="007E20F0">
      <w:pPr>
        <w:pStyle w:val="Paragraphedeliste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Cette journée d’études est</w:t>
      </w:r>
      <w:r w:rsidR="00900BB6">
        <w:rPr>
          <w:rFonts w:ascii="Times New Roman" w:hAnsi="Times New Roman" w:cs="Times New Roman"/>
          <w:color w:val="000000"/>
          <w:shd w:val="clear" w:color="auto" w:fill="FFFFFF"/>
        </w:rPr>
        <w:t xml:space="preserve"> f</w:t>
      </w:r>
      <w:r>
        <w:rPr>
          <w:rFonts w:ascii="Times New Roman" w:hAnsi="Times New Roman" w:cs="Times New Roman"/>
          <w:color w:val="000000"/>
          <w:shd w:val="clear" w:color="auto" w:fill="FFFFFF"/>
        </w:rPr>
        <w:t>ondée sur le projet de déterminer la résistance d’une interrogation critique de pleine actualité dans différents champs d’investigation (la littérature, les arts</w:t>
      </w:r>
      <w:r w:rsidR="00175511">
        <w:rPr>
          <w:rFonts w:ascii="Times New Roman" w:hAnsi="Times New Roman" w:cs="Times New Roman"/>
          <w:color w:val="000000"/>
          <w:shd w:val="clear" w:color="auto" w:fill="FFFFFF"/>
        </w:rPr>
        <w:t xml:space="preserve"> littéraires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la didactique de ces disciplines). Elle se présente sous l’égide d’une agitation d’idées, pour déterminer un périmètre d’investigation. Première pierre d’une recherche, </w:t>
      </w:r>
      <w:r w:rsidR="00900BB6">
        <w:rPr>
          <w:rFonts w:ascii="Times New Roman" w:hAnsi="Times New Roman" w:cs="Times New Roman"/>
          <w:color w:val="000000"/>
          <w:shd w:val="clear" w:color="auto" w:fill="FFFFFF"/>
        </w:rPr>
        <w:t xml:space="preserve">en lien avec le séminaire « Art, langage et digital » organisé </w:t>
      </w:r>
      <w:r w:rsidR="00900BB6">
        <w:rPr>
          <w:rFonts w:ascii="Times New Roman" w:hAnsi="Times New Roman" w:cs="Times New Roman"/>
          <w:color w:val="000000"/>
          <w:shd w:val="clear" w:color="auto" w:fill="FFFFFF"/>
        </w:rPr>
        <w:t>avec</w:t>
      </w:r>
      <w:r w:rsidR="00900BB6">
        <w:rPr>
          <w:rFonts w:ascii="Times New Roman" w:hAnsi="Times New Roman" w:cs="Times New Roman"/>
          <w:color w:val="000000"/>
          <w:shd w:val="clear" w:color="auto" w:fill="FFFFFF"/>
        </w:rPr>
        <w:t xml:space="preserve"> Christine Vial-Kayser</w:t>
      </w:r>
      <w:r w:rsidR="00900BB6">
        <w:rPr>
          <w:rFonts w:ascii="Times New Roman" w:hAnsi="Times New Roman" w:cs="Times New Roman"/>
          <w:color w:val="000000"/>
          <w:shd w:val="clear" w:color="auto" w:fill="FFFFFF"/>
        </w:rPr>
        <w:t xml:space="preserve">, cette journée d’études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accepte </w:t>
      </w:r>
      <w:r w:rsidR="00D52691">
        <w:rPr>
          <w:rFonts w:ascii="Times New Roman" w:hAnsi="Times New Roman" w:cs="Times New Roman"/>
          <w:color w:val="000000"/>
          <w:shd w:val="clear" w:color="auto" w:fill="FFFFFF"/>
        </w:rPr>
        <w:t xml:space="preserve">des présentations flash, des formats d’intervention en dialogue et ménagera des espaces de construction </w:t>
      </w:r>
      <w:r w:rsidR="00175511">
        <w:rPr>
          <w:rFonts w:ascii="Times New Roman" w:hAnsi="Times New Roman" w:cs="Times New Roman"/>
          <w:color w:val="000000"/>
          <w:shd w:val="clear" w:color="auto" w:fill="FFFFFF"/>
        </w:rPr>
        <w:t xml:space="preserve">collective </w:t>
      </w:r>
      <w:r w:rsidR="00D52691">
        <w:rPr>
          <w:rFonts w:ascii="Times New Roman" w:hAnsi="Times New Roman" w:cs="Times New Roman"/>
          <w:color w:val="000000"/>
          <w:shd w:val="clear" w:color="auto" w:fill="FFFFFF"/>
        </w:rPr>
        <w:t>de</w:t>
      </w:r>
      <w:r w:rsidR="00175511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D52691">
        <w:rPr>
          <w:rFonts w:ascii="Times New Roman" w:hAnsi="Times New Roman" w:cs="Times New Roman"/>
          <w:color w:val="000000"/>
          <w:shd w:val="clear" w:color="auto" w:fill="FFFFFF"/>
        </w:rPr>
        <w:t xml:space="preserve"> prolongements. </w:t>
      </w:r>
    </w:p>
    <w:p w14:paraId="43DF34A4" w14:textId="17BB8710" w:rsidR="00741B8C" w:rsidRDefault="00741B8C" w:rsidP="00B70322">
      <w:pPr>
        <w:pStyle w:val="Paragraphedeliste"/>
        <w:jc w:val="both"/>
        <w:rPr>
          <w:rFonts w:ascii="Times New Roman" w:hAnsi="Times New Roman" w:cs="Times New Roman"/>
        </w:rPr>
      </w:pPr>
    </w:p>
    <w:p w14:paraId="59F4DBA8" w14:textId="77777777" w:rsidR="00D52691" w:rsidRDefault="00D52691" w:rsidP="00B70322">
      <w:pPr>
        <w:pStyle w:val="Paragraphedeliste"/>
        <w:jc w:val="both"/>
        <w:rPr>
          <w:rFonts w:ascii="Times New Roman" w:hAnsi="Times New Roman" w:cs="Times New Roman"/>
        </w:rPr>
      </w:pPr>
    </w:p>
    <w:p w14:paraId="69D6F1EA" w14:textId="1B913EEE" w:rsidR="00D52691" w:rsidRPr="00162DEF" w:rsidRDefault="00162DEF" w:rsidP="00162DEF">
      <w:pPr>
        <w:pStyle w:val="Paragraphedeliste"/>
        <w:ind w:left="142"/>
        <w:jc w:val="both"/>
        <w:rPr>
          <w:rFonts w:ascii="Times New Roman" w:hAnsi="Times New Roman" w:cs="Times New Roman"/>
          <w:b/>
          <w:bCs/>
        </w:rPr>
      </w:pPr>
      <w:r w:rsidRPr="00162DEF">
        <w:rPr>
          <w:rFonts w:ascii="Times New Roman" w:hAnsi="Times New Roman" w:cs="Times New Roman"/>
          <w:b/>
          <w:bCs/>
        </w:rPr>
        <w:t xml:space="preserve">Pistes bibliographiques pour engager la réflexion </w:t>
      </w:r>
    </w:p>
    <w:p w14:paraId="4DC7642F" w14:textId="77777777" w:rsidR="00162DEF" w:rsidRDefault="00162DEF" w:rsidP="00B70322">
      <w:pPr>
        <w:pStyle w:val="Paragraphedeliste"/>
        <w:jc w:val="both"/>
        <w:rPr>
          <w:rFonts w:ascii="Times New Roman" w:hAnsi="Times New Roman" w:cs="Times New Roman"/>
        </w:rPr>
      </w:pPr>
    </w:p>
    <w:p w14:paraId="753063E6" w14:textId="77777777" w:rsidR="006D7E72" w:rsidRPr="005405BE" w:rsidRDefault="006D7E72" w:rsidP="005405BE">
      <w:pPr>
        <w:rPr>
          <w:rFonts w:ascii="Times New Roman" w:hAnsi="Times New Roman" w:cs="Times New Roman"/>
        </w:rPr>
      </w:pPr>
    </w:p>
    <w:p w14:paraId="0331A138" w14:textId="2EAD3D70" w:rsidR="005405BE" w:rsidRPr="00900359" w:rsidRDefault="005405BE" w:rsidP="00900359">
      <w:pPr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>Acerra, E., Boutin, J.-F. (2023), « Éclatement des formes, des théories et des pratiques didactiques de la littérature sous l’impact du numérique », 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>Revue de recherches en littératie médiatique multimodale</w:t>
      </w:r>
      <w:r w:rsidRPr="00900359">
        <w:rPr>
          <w:rFonts w:ascii="Times New Roman" w:hAnsi="Times New Roman" w:cs="Times New Roman"/>
          <w:color w:val="000000" w:themeColor="text1"/>
        </w:rPr>
        <w:t xml:space="preserve">, n° 18, en ligne, DOI : </w:t>
      </w:r>
      <w:hyperlink r:id="rId7" w:history="1">
        <w:r w:rsidRPr="00900359">
          <w:rPr>
            <w:rStyle w:val="Lienhypertexte"/>
            <w:rFonts w:ascii="Times New Roman" w:hAnsi="Times New Roman" w:cs="Times New Roman"/>
            <w:color w:val="000000" w:themeColor="text1"/>
          </w:rPr>
          <w:t>doi.org/10.7202/1108690ar</w:t>
        </w:r>
      </w:hyperlink>
      <w:r w:rsidRPr="00900359">
        <w:rPr>
          <w:rFonts w:ascii="Times New Roman" w:hAnsi="Times New Roman" w:cs="Times New Roman"/>
          <w:color w:val="000000" w:themeColor="text1"/>
        </w:rPr>
        <w:t>.</w:t>
      </w:r>
    </w:p>
    <w:p w14:paraId="4E9B5FCA" w14:textId="02FB712E" w:rsidR="00286605" w:rsidRPr="00900359" w:rsidRDefault="00286605" w:rsidP="00900359">
      <w:pPr>
        <w:tabs>
          <w:tab w:val="left" w:pos="6558"/>
        </w:tabs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 xml:space="preserve">Acerra, E., Brehm, S., &amp; Lacelle, N. (2024), « Écrire "à la manière de…" avec ChatGPT au secondaire québécois », 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 xml:space="preserve">Le français aujourd’hui, </w:t>
      </w:r>
      <w:r w:rsidRPr="00900359">
        <w:rPr>
          <w:rFonts w:ascii="Times New Roman" w:hAnsi="Times New Roman" w:cs="Times New Roman"/>
          <w:color w:val="000000" w:themeColor="text1"/>
        </w:rPr>
        <w:t>n° 226, p. 85-100.</w:t>
      </w:r>
    </w:p>
    <w:p w14:paraId="04AD8297" w14:textId="297D7FC5" w:rsidR="0067027C" w:rsidRPr="00900359" w:rsidRDefault="0067027C" w:rsidP="00900359">
      <w:pPr>
        <w:tabs>
          <w:tab w:val="left" w:pos="6558"/>
        </w:tabs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 xml:space="preserve">Bazile, S., Alonso, B., </w:t>
      </w:r>
      <w:proofErr w:type="spellStart"/>
      <w:r w:rsidRPr="00900359">
        <w:rPr>
          <w:rFonts w:ascii="Times New Roman" w:hAnsi="Times New Roman" w:cs="Times New Roman"/>
          <w:color w:val="000000" w:themeColor="text1"/>
        </w:rPr>
        <w:t>Cwiczynski</w:t>
      </w:r>
      <w:proofErr w:type="spellEnd"/>
      <w:r w:rsidRPr="00900359">
        <w:rPr>
          <w:rFonts w:ascii="Times New Roman" w:hAnsi="Times New Roman" w:cs="Times New Roman"/>
          <w:color w:val="000000" w:themeColor="text1"/>
        </w:rPr>
        <w:t>, M., Lauze, M., &amp; Mayoral, M. (2024)</w:t>
      </w:r>
      <w:r w:rsidR="00286605" w:rsidRPr="00900359">
        <w:rPr>
          <w:rFonts w:ascii="Times New Roman" w:hAnsi="Times New Roman" w:cs="Times New Roman"/>
          <w:color w:val="000000" w:themeColor="text1"/>
        </w:rPr>
        <w:t>, « </w:t>
      </w:r>
      <w:r w:rsidRPr="00900359">
        <w:rPr>
          <w:rFonts w:ascii="Times New Roman" w:hAnsi="Times New Roman" w:cs="Times New Roman"/>
          <w:color w:val="000000" w:themeColor="text1"/>
        </w:rPr>
        <w:t>Quelles représentations et quelles pratiques personnelles des IA génératives, pour quelles transpositions possibles aux usages scolaires ?</w:t>
      </w:r>
      <w:r w:rsidR="00286605" w:rsidRPr="00900359">
        <w:rPr>
          <w:rFonts w:ascii="Times New Roman" w:hAnsi="Times New Roman" w:cs="Times New Roman"/>
          <w:color w:val="000000" w:themeColor="text1"/>
        </w:rPr>
        <w:t> »,</w:t>
      </w:r>
      <w:r w:rsidRPr="00900359">
        <w:rPr>
          <w:rFonts w:ascii="Times New Roman" w:hAnsi="Times New Roman" w:cs="Times New Roman"/>
          <w:color w:val="000000" w:themeColor="text1"/>
        </w:rPr>
        <w:t xml:space="preserve"> 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 xml:space="preserve">Le français aujourd’hui, </w:t>
      </w:r>
      <w:r w:rsidRPr="00900359">
        <w:rPr>
          <w:rFonts w:ascii="Times New Roman" w:hAnsi="Times New Roman" w:cs="Times New Roman"/>
          <w:color w:val="000000" w:themeColor="text1"/>
        </w:rPr>
        <w:t>n° 226, p. 51-68.</w:t>
      </w:r>
    </w:p>
    <w:p w14:paraId="0F778F4F" w14:textId="47EEC4FD" w:rsidR="0067027C" w:rsidRPr="00900359" w:rsidRDefault="0067027C" w:rsidP="00900359">
      <w:pPr>
        <w:tabs>
          <w:tab w:val="left" w:pos="6558"/>
        </w:tabs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>Brillant Rannou, N. (2024)</w:t>
      </w:r>
      <w:r w:rsidR="00286605" w:rsidRPr="00900359">
        <w:rPr>
          <w:rFonts w:ascii="Times New Roman" w:hAnsi="Times New Roman" w:cs="Times New Roman"/>
          <w:color w:val="000000" w:themeColor="text1"/>
        </w:rPr>
        <w:t>, « </w:t>
      </w:r>
      <w:r w:rsidRPr="00900359">
        <w:rPr>
          <w:rFonts w:ascii="Times New Roman" w:hAnsi="Times New Roman" w:cs="Times New Roman"/>
          <w:color w:val="000000" w:themeColor="text1"/>
        </w:rPr>
        <w:t xml:space="preserve">L’encre numérique est-elle sympathique ? Ou que nous apprennent les </w:t>
      </w:r>
      <w:r w:rsidR="00286605" w:rsidRPr="00900359">
        <w:rPr>
          <w:rFonts w:ascii="Times New Roman" w:hAnsi="Times New Roman" w:cs="Times New Roman"/>
          <w:color w:val="000000" w:themeColor="text1"/>
        </w:rPr>
        <w:t>"</w:t>
      </w:r>
      <w:r w:rsidRPr="00900359">
        <w:rPr>
          <w:rFonts w:ascii="Times New Roman" w:hAnsi="Times New Roman" w:cs="Times New Roman"/>
          <w:color w:val="000000" w:themeColor="text1"/>
        </w:rPr>
        <w:t>lectures artificielles</w:t>
      </w:r>
      <w:r w:rsidR="00286605" w:rsidRPr="00900359">
        <w:rPr>
          <w:rFonts w:ascii="Times New Roman" w:hAnsi="Times New Roman" w:cs="Times New Roman"/>
          <w:color w:val="000000" w:themeColor="text1"/>
        </w:rPr>
        <w:t>"</w:t>
      </w:r>
      <w:r w:rsidRPr="00900359">
        <w:rPr>
          <w:rFonts w:ascii="Times New Roman" w:hAnsi="Times New Roman" w:cs="Times New Roman"/>
          <w:color w:val="000000" w:themeColor="text1"/>
        </w:rPr>
        <w:t xml:space="preserve"> de ChatGPT en atelier d’écriture ?</w:t>
      </w:r>
      <w:r w:rsidR="00286605" w:rsidRPr="00900359">
        <w:rPr>
          <w:rFonts w:ascii="Times New Roman" w:hAnsi="Times New Roman" w:cs="Times New Roman"/>
          <w:color w:val="000000" w:themeColor="text1"/>
        </w:rPr>
        <w:t> »,</w:t>
      </w:r>
      <w:r w:rsidRPr="00900359">
        <w:rPr>
          <w:rFonts w:ascii="Times New Roman" w:hAnsi="Times New Roman" w:cs="Times New Roman"/>
          <w:color w:val="000000" w:themeColor="text1"/>
        </w:rPr>
        <w:t xml:space="preserve"> 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 xml:space="preserve">Le français aujourd’hui, </w:t>
      </w:r>
      <w:r w:rsidRPr="00900359">
        <w:rPr>
          <w:rFonts w:ascii="Times New Roman" w:hAnsi="Times New Roman" w:cs="Times New Roman"/>
          <w:color w:val="000000" w:themeColor="text1"/>
        </w:rPr>
        <w:t>n° 226, p. 115-124.</w:t>
      </w:r>
    </w:p>
    <w:p w14:paraId="654BE49E" w14:textId="45C7517C" w:rsidR="00175511" w:rsidRPr="00900359" w:rsidRDefault="00445AC9" w:rsidP="00900359">
      <w:pPr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>Chabanne, J.-C., Lacelle, N., Richard, M. (2017), « Relations intersémiotiques en didactique des arts et de la littérature », 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>Revue de recherches en littératie médiatique multimodale</w:t>
      </w:r>
      <w:r w:rsidRPr="00900359">
        <w:rPr>
          <w:rFonts w:ascii="Times New Roman" w:hAnsi="Times New Roman" w:cs="Times New Roman"/>
          <w:color w:val="000000" w:themeColor="text1"/>
        </w:rPr>
        <w:t>, n° 6, en ligne, DOI :  </w:t>
      </w:r>
      <w:hyperlink r:id="rId8" w:history="1">
        <w:r w:rsidRPr="00900359">
          <w:rPr>
            <w:rStyle w:val="Lienhypertexte"/>
            <w:rFonts w:ascii="Times New Roman" w:hAnsi="Times New Roman" w:cs="Times New Roman"/>
            <w:color w:val="000000" w:themeColor="text1"/>
          </w:rPr>
          <w:t>doi.org/10.7202/1043744ar</w:t>
        </w:r>
      </w:hyperlink>
      <w:r w:rsidRPr="00900359">
        <w:rPr>
          <w:rFonts w:ascii="Times New Roman" w:hAnsi="Times New Roman" w:cs="Times New Roman"/>
          <w:color w:val="000000" w:themeColor="text1"/>
        </w:rPr>
        <w:t>.</w:t>
      </w:r>
    </w:p>
    <w:p w14:paraId="5D49E6A2" w14:textId="56D99219" w:rsidR="0067027C" w:rsidRPr="00900359" w:rsidRDefault="0067027C" w:rsidP="00900359">
      <w:pPr>
        <w:tabs>
          <w:tab w:val="left" w:pos="6558"/>
        </w:tabs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>Gervais, B., Lacelle, N. (2024)</w:t>
      </w:r>
      <w:r w:rsidR="00286605" w:rsidRPr="00900359">
        <w:rPr>
          <w:rFonts w:ascii="Times New Roman" w:hAnsi="Times New Roman" w:cs="Times New Roman"/>
          <w:color w:val="000000" w:themeColor="text1"/>
        </w:rPr>
        <w:t>,</w:t>
      </w:r>
      <w:r w:rsidRPr="00900359">
        <w:rPr>
          <w:rFonts w:ascii="Times New Roman" w:hAnsi="Times New Roman" w:cs="Times New Roman"/>
          <w:color w:val="000000" w:themeColor="text1"/>
        </w:rPr>
        <w:t xml:space="preserve"> « Qui lira ce que tu n’as pas écrit ? Dialogue avec un infra-auteur</w:t>
      </w:r>
      <w:r w:rsidR="00286605" w:rsidRPr="00900359">
        <w:rPr>
          <w:rFonts w:ascii="Times New Roman" w:hAnsi="Times New Roman" w:cs="Times New Roman"/>
          <w:color w:val="000000" w:themeColor="text1"/>
        </w:rPr>
        <w:t xml:space="preserve"> », 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 xml:space="preserve">Le français aujourd’hui, </w:t>
      </w:r>
      <w:r w:rsidRPr="00900359">
        <w:rPr>
          <w:rFonts w:ascii="Times New Roman" w:hAnsi="Times New Roman" w:cs="Times New Roman"/>
          <w:color w:val="000000" w:themeColor="text1"/>
        </w:rPr>
        <w:t>n° 226, p. 125-150.</w:t>
      </w:r>
    </w:p>
    <w:p w14:paraId="7BAF4AAD" w14:textId="4DBD7CCF" w:rsidR="00445AC9" w:rsidRPr="00900359" w:rsidRDefault="00445AC9" w:rsidP="0090035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900359">
        <w:rPr>
          <w:color w:val="000000" w:themeColor="text1"/>
        </w:rPr>
        <w:t>Lacelle,</w:t>
      </w:r>
      <w:r w:rsidRPr="00900359">
        <w:rPr>
          <w:rFonts w:eastAsiaTheme="majorEastAsia"/>
          <w:color w:val="000000" w:themeColor="text1"/>
        </w:rPr>
        <w:t> </w:t>
      </w:r>
      <w:r w:rsidRPr="00900359">
        <w:rPr>
          <w:color w:val="000000" w:themeColor="text1"/>
        </w:rPr>
        <w:t>N., Lebrun,</w:t>
      </w:r>
      <w:r w:rsidRPr="00900359">
        <w:rPr>
          <w:rFonts w:eastAsiaTheme="majorEastAsia"/>
          <w:color w:val="000000" w:themeColor="text1"/>
        </w:rPr>
        <w:t> </w:t>
      </w:r>
      <w:r w:rsidRPr="00900359">
        <w:rPr>
          <w:color w:val="000000" w:themeColor="text1"/>
        </w:rPr>
        <w:t>M.</w:t>
      </w:r>
      <w:r w:rsidRPr="00900359">
        <w:rPr>
          <w:rFonts w:eastAsiaTheme="majorEastAsia"/>
          <w:color w:val="000000" w:themeColor="text1"/>
        </w:rPr>
        <w:t> </w:t>
      </w:r>
      <w:r w:rsidRPr="00900359">
        <w:rPr>
          <w:color w:val="000000" w:themeColor="text1"/>
        </w:rPr>
        <w:t>(2016), « L’écriture numérique à l’école</w:t>
      </w:r>
      <w:r w:rsidR="00B95FFE">
        <w:rPr>
          <w:color w:val="000000" w:themeColor="text1"/>
        </w:rPr>
        <w:t> </w:t>
      </w:r>
      <w:r w:rsidRPr="00900359">
        <w:rPr>
          <w:color w:val="000000" w:themeColor="text1"/>
        </w:rPr>
        <w:t>: nouvelles textualités, nouveaux enjeux »,</w:t>
      </w:r>
      <w:r w:rsidRPr="00900359">
        <w:rPr>
          <w:rFonts w:eastAsiaTheme="majorEastAsia"/>
          <w:color w:val="000000" w:themeColor="text1"/>
        </w:rPr>
        <w:t> </w:t>
      </w:r>
      <w:r w:rsidRPr="00900359">
        <w:rPr>
          <w:i/>
          <w:iCs/>
          <w:color w:val="000000" w:themeColor="text1"/>
        </w:rPr>
        <w:t>Revue de recherches en littératie médiatique multimodale</w:t>
      </w:r>
      <w:r w:rsidRPr="00900359">
        <w:rPr>
          <w:color w:val="000000" w:themeColor="text1"/>
        </w:rPr>
        <w:t>,</w:t>
      </w:r>
      <w:r w:rsidRPr="00900359">
        <w:rPr>
          <w:rFonts w:eastAsiaTheme="majorEastAsia"/>
          <w:color w:val="000000" w:themeColor="text1"/>
        </w:rPr>
        <w:t> </w:t>
      </w:r>
      <w:r w:rsidRPr="00900359">
        <w:rPr>
          <w:color w:val="000000" w:themeColor="text1"/>
        </w:rPr>
        <w:t>n° 3, en ligne, DOI : doi.org/10.7202/1047123ar.</w:t>
      </w:r>
    </w:p>
    <w:p w14:paraId="1D91B7F9" w14:textId="19D0FCEA" w:rsidR="006D7E72" w:rsidRPr="00900359" w:rsidRDefault="00286605" w:rsidP="0090035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00359">
        <w:rPr>
          <w:rFonts w:ascii="Times New Roman" w:hAnsi="Times New Roman" w:cs="Times New Roman"/>
          <w:color w:val="000000" w:themeColor="text1"/>
        </w:rPr>
        <w:t>Neeman</w:t>
      </w:r>
      <w:proofErr w:type="spellEnd"/>
      <w:r w:rsidRPr="00900359">
        <w:rPr>
          <w:rFonts w:ascii="Times New Roman" w:hAnsi="Times New Roman" w:cs="Times New Roman"/>
          <w:color w:val="000000" w:themeColor="text1"/>
        </w:rPr>
        <w:t>, E., avec </w:t>
      </w:r>
      <w:proofErr w:type="spellStart"/>
      <w:r w:rsidRPr="00900359">
        <w:rPr>
          <w:rFonts w:ascii="Times New Roman" w:hAnsi="Times New Roman" w:cs="Times New Roman"/>
          <w:color w:val="000000" w:themeColor="text1"/>
        </w:rPr>
        <w:t>Meizoz</w:t>
      </w:r>
      <w:proofErr w:type="spellEnd"/>
      <w:r w:rsidRPr="00900359">
        <w:rPr>
          <w:rFonts w:ascii="Times New Roman" w:hAnsi="Times New Roman" w:cs="Times New Roman"/>
          <w:color w:val="000000" w:themeColor="text1"/>
        </w:rPr>
        <w:t>, J. et </w:t>
      </w:r>
      <w:proofErr w:type="spellStart"/>
      <w:r w:rsidRPr="00900359">
        <w:rPr>
          <w:rFonts w:ascii="Times New Roman" w:hAnsi="Times New Roman" w:cs="Times New Roman"/>
          <w:color w:val="000000" w:themeColor="text1"/>
        </w:rPr>
        <w:t>Clivaz</w:t>
      </w:r>
      <w:proofErr w:type="spellEnd"/>
      <w:r w:rsidRPr="00900359">
        <w:rPr>
          <w:rFonts w:ascii="Times New Roman" w:hAnsi="Times New Roman" w:cs="Times New Roman"/>
          <w:color w:val="000000" w:themeColor="text1"/>
        </w:rPr>
        <w:t xml:space="preserve">, C. (2012), « Culture Numérique et </w:t>
      </w:r>
      <w:proofErr w:type="spellStart"/>
      <w:r w:rsidRPr="00900359">
        <w:rPr>
          <w:rFonts w:ascii="Times New Roman" w:hAnsi="Times New Roman" w:cs="Times New Roman"/>
          <w:color w:val="000000" w:themeColor="text1"/>
        </w:rPr>
        <w:t>Auctorialité</w:t>
      </w:r>
      <w:proofErr w:type="spellEnd"/>
      <w:r w:rsidRPr="00900359">
        <w:rPr>
          <w:rFonts w:ascii="Times New Roman" w:hAnsi="Times New Roman" w:cs="Times New Roman"/>
          <w:color w:val="000000" w:themeColor="text1"/>
        </w:rPr>
        <w:t> : Réflexions sur un bouleversement », 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>A contrario</w:t>
      </w:r>
      <w:r w:rsidRPr="00900359">
        <w:rPr>
          <w:rFonts w:ascii="Times New Roman" w:hAnsi="Times New Roman" w:cs="Times New Roman"/>
          <w:color w:val="000000" w:themeColor="text1"/>
        </w:rPr>
        <w:t xml:space="preserve"> n°17, p. 3-36, accessible en ligne, DOI : </w:t>
      </w:r>
      <w:hyperlink r:id="rId9" w:history="1">
        <w:r w:rsidRPr="00900359">
          <w:rPr>
            <w:rStyle w:val="Lienhypertexte"/>
            <w:rFonts w:ascii="Times New Roman" w:hAnsi="Times New Roman" w:cs="Times New Roman"/>
            <w:color w:val="000000" w:themeColor="text1"/>
          </w:rPr>
          <w:t>doi.org/10.3917/aco.121.0003</w:t>
        </w:r>
      </w:hyperlink>
      <w:r w:rsidRPr="00900359">
        <w:rPr>
          <w:rFonts w:ascii="Times New Roman" w:hAnsi="Times New Roman" w:cs="Times New Roman"/>
          <w:color w:val="000000" w:themeColor="text1"/>
        </w:rPr>
        <w:t>.</w:t>
      </w:r>
    </w:p>
    <w:p w14:paraId="61DC9197" w14:textId="2350BD75" w:rsidR="0067027C" w:rsidRPr="00900359" w:rsidRDefault="0067027C" w:rsidP="00900359">
      <w:pPr>
        <w:tabs>
          <w:tab w:val="left" w:pos="6558"/>
        </w:tabs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>Petitjean, AM. (2024)</w:t>
      </w:r>
      <w:r w:rsidR="00286605" w:rsidRPr="00900359">
        <w:rPr>
          <w:rFonts w:ascii="Times New Roman" w:hAnsi="Times New Roman" w:cs="Times New Roman"/>
          <w:color w:val="000000" w:themeColor="text1"/>
        </w:rPr>
        <w:t>, « </w:t>
      </w:r>
      <w:r w:rsidRPr="00900359">
        <w:rPr>
          <w:rFonts w:ascii="Times New Roman" w:hAnsi="Times New Roman" w:cs="Times New Roman"/>
          <w:color w:val="000000" w:themeColor="text1"/>
        </w:rPr>
        <w:t>Que devient la créativité littéraire à l’heure de ChatGPT ? L’évolution d’un atelier d’écritures numériques en master de création littéraire</w:t>
      </w:r>
      <w:r w:rsidR="00286605" w:rsidRPr="00900359">
        <w:rPr>
          <w:rFonts w:ascii="Times New Roman" w:hAnsi="Times New Roman" w:cs="Times New Roman"/>
          <w:color w:val="000000" w:themeColor="text1"/>
        </w:rPr>
        <w:t xml:space="preserve"> », </w:t>
      </w:r>
      <w:r w:rsidR="00286605" w:rsidRPr="00900359">
        <w:rPr>
          <w:rFonts w:ascii="Times New Roman" w:hAnsi="Times New Roman" w:cs="Times New Roman"/>
          <w:i/>
          <w:iCs/>
          <w:color w:val="000000" w:themeColor="text1"/>
        </w:rPr>
        <w:t>Le f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 xml:space="preserve">rançais aujourd’hui, </w:t>
      </w:r>
      <w:r w:rsidR="00286605" w:rsidRPr="00900359">
        <w:rPr>
          <w:rFonts w:ascii="Times New Roman" w:hAnsi="Times New Roman" w:cs="Times New Roman"/>
          <w:color w:val="000000" w:themeColor="text1"/>
        </w:rPr>
        <w:t>n° </w:t>
      </w:r>
      <w:r w:rsidRPr="00900359">
        <w:rPr>
          <w:rFonts w:ascii="Times New Roman" w:hAnsi="Times New Roman" w:cs="Times New Roman"/>
          <w:color w:val="000000" w:themeColor="text1"/>
        </w:rPr>
        <w:t xml:space="preserve">226, </w:t>
      </w:r>
      <w:r w:rsidR="00286605" w:rsidRPr="00900359">
        <w:rPr>
          <w:rFonts w:ascii="Times New Roman" w:hAnsi="Times New Roman" w:cs="Times New Roman"/>
          <w:color w:val="000000" w:themeColor="text1"/>
        </w:rPr>
        <w:t xml:space="preserve">p. </w:t>
      </w:r>
      <w:r w:rsidRPr="00900359">
        <w:rPr>
          <w:rFonts w:ascii="Times New Roman" w:hAnsi="Times New Roman" w:cs="Times New Roman"/>
          <w:color w:val="000000" w:themeColor="text1"/>
        </w:rPr>
        <w:t>101-114.</w:t>
      </w:r>
    </w:p>
    <w:p w14:paraId="5730E9D7" w14:textId="2924C0F7" w:rsidR="0067027C" w:rsidRPr="00900359" w:rsidRDefault="0067027C" w:rsidP="00900359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 xml:space="preserve">Petitjean, AM. (2025). « Apprendre à composer une fiction avec et contre ChatGPT », 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>Le français aujourd’hui</w:t>
      </w:r>
      <w:r w:rsidR="00286605" w:rsidRPr="00900359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900359">
        <w:rPr>
          <w:rFonts w:ascii="Times New Roman" w:hAnsi="Times New Roman" w:cs="Times New Roman"/>
          <w:color w:val="000000" w:themeColor="text1"/>
        </w:rPr>
        <w:t xml:space="preserve"> n° 228, p. 99-108.</w:t>
      </w:r>
    </w:p>
    <w:p w14:paraId="3C9C50A5" w14:textId="28FF7FA3" w:rsidR="006D7E72" w:rsidRDefault="00740753" w:rsidP="0017551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900359">
        <w:rPr>
          <w:rFonts w:ascii="Times New Roman" w:hAnsi="Times New Roman" w:cs="Times New Roman"/>
          <w:color w:val="000000" w:themeColor="text1"/>
        </w:rPr>
        <w:t xml:space="preserve">Vial, S.  (2013), </w:t>
      </w:r>
      <w:r w:rsidRPr="00900359">
        <w:rPr>
          <w:rFonts w:ascii="Times New Roman" w:hAnsi="Times New Roman" w:cs="Times New Roman"/>
          <w:i/>
          <w:iCs/>
          <w:color w:val="000000" w:themeColor="text1"/>
        </w:rPr>
        <w:t>L'être et L'écran : Comment le Numérique Change la Perception</w:t>
      </w:r>
      <w:r w:rsidRPr="00900359">
        <w:rPr>
          <w:rFonts w:ascii="Times New Roman" w:hAnsi="Times New Roman" w:cs="Times New Roman"/>
          <w:color w:val="000000" w:themeColor="text1"/>
        </w:rPr>
        <w:t>, Paris, Presses Universitaires de France, accessible en ligne, DOI : doi.org/10.3917/puf.vials.2013.01.</w:t>
      </w:r>
    </w:p>
    <w:p w14:paraId="3AD2CFFD" w14:textId="77777777" w:rsidR="00CF31C9" w:rsidRDefault="00CF31C9" w:rsidP="0017551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p w14:paraId="45E477F4" w14:textId="77777777" w:rsidR="00CF31C9" w:rsidRDefault="00CF31C9" w:rsidP="0017551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p w14:paraId="25256737" w14:textId="7411DFB3" w:rsidR="00CF31C9" w:rsidRPr="00175511" w:rsidRDefault="00CF31C9" w:rsidP="0017551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Contributions à proposer avant le </w:t>
      </w:r>
      <w:r w:rsidR="00854AC1">
        <w:rPr>
          <w:rFonts w:ascii="Times New Roman" w:hAnsi="Times New Roman" w:cs="Times New Roman"/>
          <w:b/>
          <w:bCs/>
          <w:color w:val="000000" w:themeColor="text1"/>
        </w:rPr>
        <w:t>30</w:t>
      </w:r>
      <w:r w:rsidRPr="00CF31C9">
        <w:rPr>
          <w:rFonts w:ascii="Times New Roman" w:hAnsi="Times New Roman" w:cs="Times New Roman"/>
          <w:b/>
          <w:bCs/>
          <w:color w:val="000000" w:themeColor="text1"/>
        </w:rPr>
        <w:t xml:space="preserve"> avril</w:t>
      </w:r>
      <w:r>
        <w:rPr>
          <w:rFonts w:ascii="Times New Roman" w:hAnsi="Times New Roman" w:cs="Times New Roman"/>
          <w:color w:val="000000" w:themeColor="text1"/>
        </w:rPr>
        <w:t xml:space="preserve"> sous la forme d’un titre, un résumé (environ 2000 signes et 3 références bibliographiques), trois lignes de présentation bio-bibliographique et la précision éventuelle du format souhaité pour une intervention.</w:t>
      </w:r>
      <w:r w:rsidR="00900BB6">
        <w:rPr>
          <w:rFonts w:ascii="Times New Roman" w:hAnsi="Times New Roman" w:cs="Times New Roman"/>
          <w:color w:val="000000" w:themeColor="text1"/>
        </w:rPr>
        <w:t xml:space="preserve"> </w:t>
      </w:r>
      <w:r w:rsidR="00900BB6" w:rsidRPr="00900BB6">
        <w:rPr>
          <w:rFonts w:ascii="Times New Roman" w:hAnsi="Times New Roman" w:cs="Times New Roman"/>
          <w:color w:val="000000" w:themeColor="text1"/>
          <w:u w:val="single"/>
        </w:rPr>
        <w:t>Contact</w:t>
      </w:r>
      <w:r w:rsidR="00900BB6">
        <w:rPr>
          <w:rFonts w:ascii="Times New Roman" w:hAnsi="Times New Roman" w:cs="Times New Roman"/>
          <w:color w:val="000000" w:themeColor="text1"/>
        </w:rPr>
        <w:t xml:space="preserve"> : </w:t>
      </w:r>
      <w:hyperlink r:id="rId10" w:history="1">
        <w:r w:rsidR="00900BB6" w:rsidRPr="001E60FA">
          <w:rPr>
            <w:rStyle w:val="Lienhypertexte"/>
            <w:rFonts w:ascii="Times New Roman" w:hAnsi="Times New Roman" w:cs="Times New Roman"/>
          </w:rPr>
          <w:t>amarie.petitjean@cyu.fr</w:t>
        </w:r>
      </w:hyperlink>
      <w:r w:rsidR="00900BB6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CF31C9" w:rsidRPr="00175511"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2767" w14:textId="77777777" w:rsidR="00B222B5" w:rsidRDefault="00B222B5" w:rsidP="00522CE3">
      <w:r>
        <w:separator/>
      </w:r>
    </w:p>
  </w:endnote>
  <w:endnote w:type="continuationSeparator" w:id="0">
    <w:p w14:paraId="474536FD" w14:textId="77777777" w:rsidR="00B222B5" w:rsidRDefault="00B222B5" w:rsidP="00522CE3">
      <w:r>
        <w:continuationSeparator/>
      </w:r>
    </w:p>
  </w:endnote>
  <w:endnote w:id="1">
    <w:p w14:paraId="04100625" w14:textId="51F3392F" w:rsidR="00CC7AD9" w:rsidRDefault="00CC7AD9">
      <w:pPr>
        <w:pStyle w:val="Notedefin"/>
      </w:pPr>
      <w:r>
        <w:rPr>
          <w:rStyle w:val="Appeldenotedefin"/>
        </w:rPr>
        <w:endnoteRef/>
      </w:r>
      <w:r>
        <w:t xml:space="preserve"> On voudra bien considérer les termes renvoyant à des personnes au masculin grammatical comme des emplois neutres, sans distinction genrée.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??">
    <w:altName w:val="Arial Unicode MS"/>
    <w:panose1 w:val="020B0604020202020204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DDCA" w14:textId="77777777" w:rsidR="00B222B5" w:rsidRDefault="00B222B5" w:rsidP="00522CE3">
      <w:r>
        <w:separator/>
      </w:r>
    </w:p>
  </w:footnote>
  <w:footnote w:type="continuationSeparator" w:id="0">
    <w:p w14:paraId="548B3C2D" w14:textId="77777777" w:rsidR="00B222B5" w:rsidRDefault="00B222B5" w:rsidP="00522CE3">
      <w:r>
        <w:continuationSeparator/>
      </w:r>
    </w:p>
  </w:footnote>
  <w:footnote w:id="1">
    <w:p w14:paraId="613E4518" w14:textId="45560D6E" w:rsidR="00264093" w:rsidRPr="00CC7AD9" w:rsidRDefault="00264093" w:rsidP="00524EEE">
      <w:pPr>
        <w:jc w:val="both"/>
        <w:rPr>
          <w:color w:val="000000" w:themeColor="text1"/>
        </w:rPr>
      </w:pPr>
      <w:r w:rsidRPr="0060675E">
        <w:rPr>
          <w:rStyle w:val="Appelnotedebasdep"/>
          <w:color w:val="000000" w:themeColor="text1"/>
        </w:rPr>
        <w:footnoteRef/>
      </w:r>
      <w:r w:rsidRPr="0060675E">
        <w:rPr>
          <w:color w:val="000000" w:themeColor="text1"/>
        </w:rPr>
        <w:t xml:space="preserve"> </w:t>
      </w:r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>Viala, Alain, « </w:t>
      </w:r>
      <w:proofErr w:type="spellStart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>Eléments</w:t>
      </w:r>
      <w:proofErr w:type="spellEnd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 de </w:t>
      </w:r>
      <w:proofErr w:type="spellStart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>sociopoétique</w:t>
      </w:r>
      <w:proofErr w:type="spellEnd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 », dans Georges </w:t>
      </w:r>
      <w:proofErr w:type="spellStart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>Molinié</w:t>
      </w:r>
      <w:proofErr w:type="spellEnd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 et Alain Viala (</w:t>
      </w:r>
      <w:proofErr w:type="spellStart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>dir</w:t>
      </w:r>
      <w:proofErr w:type="spellEnd"/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.), </w:t>
      </w:r>
      <w:r w:rsidRPr="0060675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Approches de la réception. Sémiostylistique et </w:t>
      </w:r>
      <w:proofErr w:type="spellStart"/>
      <w:r w:rsidRPr="0060675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fr-FR"/>
          <w14:ligatures w14:val="none"/>
        </w:rPr>
        <w:t>sociopoétique</w:t>
      </w:r>
      <w:proofErr w:type="spellEnd"/>
      <w:r w:rsidRPr="0060675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 de Le Clézio,</w:t>
      </w:r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 Paris, Presses Universitaires de France, « Perspectives littéraires », 1993, </w:t>
      </w:r>
      <w:r w:rsidRPr="00606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p. 216-217. </w:t>
      </w:r>
    </w:p>
  </w:footnote>
  <w:footnote w:id="2">
    <w:p w14:paraId="1536622C" w14:textId="77777777" w:rsidR="005F1B65" w:rsidRPr="0060675E" w:rsidRDefault="005F1B65" w:rsidP="00524EEE">
      <w:pPr>
        <w:pStyle w:val="Notedebasdepage"/>
        <w:jc w:val="both"/>
        <w:rPr>
          <w:rFonts w:ascii="Times New Roman" w:hAnsi="Times New Roman" w:cs="Times New Roman"/>
          <w:color w:val="000000" w:themeColor="text1"/>
        </w:rPr>
      </w:pPr>
      <w:r w:rsidRPr="0060675E">
        <w:rPr>
          <w:rStyle w:val="Appelnotedebasdep"/>
          <w:rFonts w:ascii="Times New Roman" w:hAnsi="Times New Roman" w:cs="Times New Roman"/>
          <w:color w:val="000000" w:themeColor="text1"/>
        </w:rPr>
        <w:footnoteRef/>
      </w:r>
      <w:r w:rsidRPr="0060675E">
        <w:rPr>
          <w:rFonts w:ascii="Times New Roman" w:hAnsi="Times New Roman" w:cs="Times New Roman"/>
          <w:color w:val="000000" w:themeColor="text1"/>
        </w:rPr>
        <w:t xml:space="preserve"> Jérôme </w:t>
      </w:r>
      <w:proofErr w:type="spellStart"/>
      <w:r w:rsidRPr="0060675E">
        <w:rPr>
          <w:rFonts w:ascii="Times New Roman" w:hAnsi="Times New Roman" w:cs="Times New Roman"/>
          <w:color w:val="000000" w:themeColor="text1"/>
        </w:rPr>
        <w:t>Meizoz</w:t>
      </w:r>
      <w:proofErr w:type="spellEnd"/>
      <w:r w:rsidRPr="0060675E">
        <w:rPr>
          <w:rFonts w:ascii="Times New Roman" w:hAnsi="Times New Roman" w:cs="Times New Roman"/>
          <w:color w:val="000000" w:themeColor="text1"/>
        </w:rPr>
        <w:t xml:space="preserve">, « Posture d’auteur », dans « Atelier de théorie littéraire », </w:t>
      </w:r>
      <w:r w:rsidRPr="0060675E">
        <w:rPr>
          <w:rFonts w:ascii="Times New Roman" w:hAnsi="Times New Roman" w:cs="Times New Roman"/>
          <w:i/>
          <w:iCs/>
          <w:color w:val="000000" w:themeColor="text1"/>
        </w:rPr>
        <w:t xml:space="preserve">Fabula </w:t>
      </w:r>
      <w:r w:rsidRPr="0060675E">
        <w:rPr>
          <w:rFonts w:ascii="Times New Roman" w:hAnsi="Times New Roman" w:cs="Times New Roman"/>
          <w:color w:val="000000" w:themeColor="text1"/>
        </w:rPr>
        <w:t xml:space="preserve">[en ligne], 2017 ; </w:t>
      </w:r>
      <w:hyperlink r:id="rId1" w:history="1">
        <w:r w:rsidRPr="0060675E">
          <w:rPr>
            <w:rStyle w:val="Lienhypertexte"/>
            <w:rFonts w:ascii="Times New Roman" w:hAnsi="Times New Roman" w:cs="Times New Roman"/>
            <w:color w:val="000000" w:themeColor="text1"/>
          </w:rPr>
          <w:t>https://www.fabula.org/ressources/atelier/?La_posture_d%27auteur</w:t>
        </w:r>
      </w:hyperlink>
      <w:r w:rsidRPr="0060675E">
        <w:rPr>
          <w:rFonts w:ascii="Times New Roman" w:hAnsi="Times New Roman" w:cs="Times New Roman"/>
          <w:color w:val="000000" w:themeColor="text1"/>
        </w:rPr>
        <w:t xml:space="preserve">. </w:t>
      </w:r>
    </w:p>
  </w:footnote>
  <w:footnote w:id="3">
    <w:p w14:paraId="6F76D89C" w14:textId="585275C0" w:rsidR="00524EEE" w:rsidRPr="0060675E" w:rsidRDefault="00524EEE" w:rsidP="00524EEE">
      <w:pPr>
        <w:pStyle w:val="Notedebasdepage"/>
        <w:jc w:val="both"/>
        <w:rPr>
          <w:rFonts w:ascii="Times New Roman" w:hAnsi="Times New Roman" w:cs="Times New Roman"/>
          <w:color w:val="000000" w:themeColor="text1"/>
        </w:rPr>
      </w:pPr>
      <w:r w:rsidRPr="0060675E">
        <w:rPr>
          <w:rStyle w:val="Appelnotedebasdep"/>
          <w:rFonts w:ascii="Times New Roman" w:hAnsi="Times New Roman" w:cs="Times New Roman"/>
          <w:color w:val="000000" w:themeColor="text1"/>
        </w:rPr>
        <w:footnoteRef/>
      </w:r>
      <w:r w:rsidRPr="0060675E">
        <w:rPr>
          <w:rFonts w:ascii="Times New Roman" w:hAnsi="Times New Roman" w:cs="Times New Roman"/>
          <w:color w:val="000000" w:themeColor="text1"/>
        </w:rPr>
        <w:t xml:space="preserve"> Voir Jean-Marie Schaeffer, </w:t>
      </w:r>
      <w:r w:rsidRPr="0060675E">
        <w:rPr>
          <w:rFonts w:ascii="Times New Roman" w:hAnsi="Times New Roman" w:cs="Times New Roman"/>
          <w:i/>
          <w:iCs/>
          <w:color w:val="000000" w:themeColor="text1"/>
        </w:rPr>
        <w:t xml:space="preserve">Pourquoi la </w:t>
      </w:r>
      <w:proofErr w:type="gramStart"/>
      <w:r w:rsidRPr="0060675E">
        <w:rPr>
          <w:rFonts w:ascii="Times New Roman" w:hAnsi="Times New Roman" w:cs="Times New Roman"/>
          <w:i/>
          <w:iCs/>
          <w:color w:val="000000" w:themeColor="text1"/>
        </w:rPr>
        <w:t>fiction ?,</w:t>
      </w:r>
      <w:proofErr w:type="gramEnd"/>
      <w:r w:rsidRPr="0060675E">
        <w:rPr>
          <w:rFonts w:ascii="Times New Roman" w:hAnsi="Times New Roman" w:cs="Times New Roman"/>
          <w:color w:val="000000" w:themeColor="text1"/>
        </w:rPr>
        <w:t xml:space="preserve"> Paris, </w:t>
      </w:r>
      <w:proofErr w:type="spellStart"/>
      <w:r w:rsidRPr="0060675E">
        <w:rPr>
          <w:rFonts w:ascii="Times New Roman" w:hAnsi="Times New Roman" w:cs="Times New Roman"/>
          <w:color w:val="000000" w:themeColor="text1"/>
        </w:rPr>
        <w:t>Seuill</w:t>
      </w:r>
      <w:proofErr w:type="spellEnd"/>
      <w:r w:rsidRPr="0060675E">
        <w:rPr>
          <w:rFonts w:ascii="Times New Roman" w:hAnsi="Times New Roman" w:cs="Times New Roman"/>
          <w:color w:val="000000" w:themeColor="text1"/>
        </w:rPr>
        <w:t>, 1999.</w:t>
      </w:r>
    </w:p>
  </w:footnote>
  <w:footnote w:id="4">
    <w:p w14:paraId="3AB40924" w14:textId="44404922" w:rsidR="00140C6D" w:rsidRPr="0060675E" w:rsidRDefault="00140C6D">
      <w:pPr>
        <w:pStyle w:val="Notedebasdepage"/>
        <w:rPr>
          <w:color w:val="000000" w:themeColor="text1"/>
        </w:rPr>
      </w:pPr>
      <w:r w:rsidRPr="0060675E">
        <w:rPr>
          <w:rStyle w:val="Appelnotedebasdep"/>
          <w:color w:val="000000" w:themeColor="text1"/>
        </w:rPr>
        <w:footnoteRef/>
      </w:r>
      <w:r w:rsidRPr="0060675E">
        <w:rPr>
          <w:color w:val="000000" w:themeColor="text1"/>
        </w:rPr>
        <w:t xml:space="preserve"> </w:t>
      </w:r>
      <w:r w:rsidRPr="0060675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Christine </w:t>
      </w:r>
      <w:r w:rsidRPr="0060675E">
        <w:rPr>
          <w:rStyle w:val="Accentuation"/>
          <w:rFonts w:ascii="Times New Roman" w:hAnsi="Times New Roman" w:cs="Times New Roman"/>
          <w:i w:val="0"/>
          <w:iCs w:val="0"/>
          <w:color w:val="000000" w:themeColor="text1"/>
        </w:rPr>
        <w:t xml:space="preserve">Barré-De </w:t>
      </w:r>
      <w:proofErr w:type="spellStart"/>
      <w:r w:rsidRPr="0060675E">
        <w:rPr>
          <w:rStyle w:val="Accentuation"/>
          <w:rFonts w:ascii="Times New Roman" w:hAnsi="Times New Roman" w:cs="Times New Roman"/>
          <w:i w:val="0"/>
          <w:iCs w:val="0"/>
          <w:color w:val="000000" w:themeColor="text1"/>
        </w:rPr>
        <w:t>Miniac</w:t>
      </w:r>
      <w:proofErr w:type="spellEnd"/>
      <w:r w:rsidRPr="0060675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,</w:t>
      </w:r>
      <w:r w:rsidRPr="0060675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14E80" w:rsidRPr="0060675E">
        <w:rPr>
          <w:rStyle w:val="Accentuation"/>
          <w:rFonts w:ascii="Times New Roman" w:hAnsi="Times New Roman" w:cs="Times New Roman"/>
          <w:color w:val="000000" w:themeColor="text1"/>
        </w:rPr>
        <w:t>Le rapport à l’écriture</w:t>
      </w:r>
      <w:r w:rsidR="00696C01" w:rsidRPr="0060675E">
        <w:rPr>
          <w:rStyle w:val="Accentuation"/>
          <w:rFonts w:ascii="Times New Roman" w:hAnsi="Times New Roman" w:cs="Times New Roman"/>
          <w:color w:val="000000" w:themeColor="text1"/>
        </w:rPr>
        <w:t xml:space="preserve">. </w:t>
      </w:r>
      <w:r w:rsidR="00E14E80" w:rsidRPr="0060675E">
        <w:rPr>
          <w:rStyle w:val="Accentuation"/>
          <w:rFonts w:ascii="Times New Roman" w:hAnsi="Times New Roman" w:cs="Times New Roman"/>
          <w:color w:val="000000" w:themeColor="text1"/>
        </w:rPr>
        <w:t>Aspects théoriques et didactiques,</w:t>
      </w:r>
      <w:r w:rsidR="00E14E80" w:rsidRPr="0060675E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="00E14E80" w:rsidRPr="0060675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Villeneuve-d’Ascq, Presses universitaires du Septentrion, [2000] </w:t>
      </w:r>
      <w:r w:rsidRPr="0060675E">
        <w:rPr>
          <w:rFonts w:ascii="Times New Roman" w:hAnsi="Times New Roman" w:cs="Times New Roman"/>
          <w:color w:val="000000" w:themeColor="text1"/>
          <w:shd w:val="clear" w:color="auto" w:fill="FFFFFF"/>
        </w:rPr>
        <w:t>2015, p. 51.</w:t>
      </w:r>
    </w:p>
  </w:footnote>
  <w:footnote w:id="5">
    <w:p w14:paraId="7B2253C2" w14:textId="688F14C5" w:rsidR="00696C01" w:rsidRPr="0060675E" w:rsidRDefault="00696C01">
      <w:pPr>
        <w:pStyle w:val="Notedebasdepage"/>
        <w:rPr>
          <w:color w:val="000000" w:themeColor="text1"/>
        </w:rPr>
      </w:pPr>
      <w:r w:rsidRPr="0060675E">
        <w:rPr>
          <w:rStyle w:val="Appelnotedebasdep"/>
          <w:color w:val="000000" w:themeColor="text1"/>
        </w:rPr>
        <w:footnoteRef/>
      </w:r>
      <w:r w:rsidRPr="0060675E">
        <w:rPr>
          <w:color w:val="000000" w:themeColor="text1"/>
        </w:rPr>
        <w:t xml:space="preserve"> </w:t>
      </w:r>
      <w:r w:rsidRPr="0060675E">
        <w:rPr>
          <w:rFonts w:ascii="Times New Roman" w:hAnsi="Times New Roman" w:cs="Times New Roman"/>
          <w:color w:val="000000" w:themeColor="text1"/>
        </w:rPr>
        <w:t xml:space="preserve">Marie-Claude </w:t>
      </w:r>
      <w:proofErr w:type="spellStart"/>
      <w:r w:rsidRPr="0060675E">
        <w:rPr>
          <w:rFonts w:ascii="Times New Roman" w:hAnsi="Times New Roman" w:cs="Times New Roman"/>
          <w:color w:val="000000" w:themeColor="text1"/>
        </w:rPr>
        <w:t>Penloup</w:t>
      </w:r>
      <w:proofErr w:type="spellEnd"/>
      <w:r w:rsidRPr="0060675E">
        <w:rPr>
          <w:rFonts w:ascii="Times New Roman" w:hAnsi="Times New Roman" w:cs="Times New Roman"/>
          <w:color w:val="000000" w:themeColor="text1"/>
        </w:rPr>
        <w:t xml:space="preserve">, </w:t>
      </w:r>
      <w:r w:rsidRPr="0060675E">
        <w:rPr>
          <w:rFonts w:ascii="Times New Roman" w:hAnsi="Times New Roman" w:cs="Times New Roman"/>
          <w:i/>
          <w:iCs/>
          <w:color w:val="000000" w:themeColor="text1"/>
        </w:rPr>
        <w:t>La</w:t>
      </w:r>
      <w:r w:rsidR="0056112F" w:rsidRPr="0060675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0675E">
        <w:rPr>
          <w:rFonts w:ascii="Times New Roman" w:hAnsi="Times New Roman" w:cs="Times New Roman"/>
          <w:i/>
          <w:iCs/>
          <w:color w:val="000000" w:themeColor="text1"/>
        </w:rPr>
        <w:t>tentation du littéraire</w:t>
      </w:r>
      <w:r w:rsidR="0056112F" w:rsidRPr="0060675E">
        <w:rPr>
          <w:rFonts w:ascii="Times New Roman" w:hAnsi="Times New Roman" w:cs="Times New Roman"/>
          <w:color w:val="000000" w:themeColor="text1"/>
        </w:rPr>
        <w:t xml:space="preserve">. </w:t>
      </w:r>
      <w:r w:rsidR="0056112F" w:rsidRPr="0060675E">
        <w:rPr>
          <w:rFonts w:ascii="Times New Roman" w:hAnsi="Times New Roman" w:cs="Times New Roman"/>
          <w:i/>
          <w:iCs/>
          <w:color w:val="000000" w:themeColor="text1"/>
        </w:rPr>
        <w:t>Essai sur le rapport à l’écriture littéraire du scripteur ordinaire</w:t>
      </w:r>
      <w:r w:rsidRPr="0060675E">
        <w:rPr>
          <w:rFonts w:ascii="Times New Roman" w:hAnsi="Times New Roman" w:cs="Times New Roman"/>
          <w:color w:val="000000" w:themeColor="text1"/>
        </w:rPr>
        <w:t xml:space="preserve">, </w:t>
      </w:r>
      <w:r w:rsidR="0056112F" w:rsidRPr="0060675E">
        <w:rPr>
          <w:rFonts w:ascii="Times New Roman" w:hAnsi="Times New Roman" w:cs="Times New Roman"/>
          <w:color w:val="000000" w:themeColor="text1"/>
        </w:rPr>
        <w:t>Paris, Didier, 2000.</w:t>
      </w:r>
      <w:r w:rsidR="0056112F" w:rsidRPr="0060675E">
        <w:rPr>
          <w:color w:val="000000" w:themeColor="text1"/>
        </w:rPr>
        <w:t xml:space="preserve"> </w:t>
      </w:r>
    </w:p>
  </w:footnote>
  <w:footnote w:id="6">
    <w:p w14:paraId="500B7732" w14:textId="57900E0E" w:rsidR="0060675E" w:rsidRPr="009A52BB" w:rsidRDefault="0060675E" w:rsidP="009A52BB">
      <w:pPr>
        <w:pStyle w:val="Titre1"/>
        <w:spacing w:before="0"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fr-FR"/>
          <w14:ligatures w14:val="none"/>
        </w:rPr>
      </w:pPr>
      <w:r w:rsidRPr="0060675E">
        <w:rPr>
          <w:rStyle w:val="Appelnotedebasdep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6067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François Le Goff et Véronique </w:t>
      </w:r>
      <w:proofErr w:type="spellStart"/>
      <w:r w:rsidRPr="0060675E">
        <w:rPr>
          <w:rFonts w:ascii="Times New Roman" w:hAnsi="Times New Roman" w:cs="Times New Roman"/>
          <w:color w:val="000000" w:themeColor="text1"/>
          <w:sz w:val="20"/>
          <w:szCs w:val="20"/>
        </w:rPr>
        <w:t>Larrivé</w:t>
      </w:r>
      <w:proofErr w:type="spellEnd"/>
      <w:r w:rsidRPr="006067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0675E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0"/>
          <w:szCs w:val="20"/>
          <w:lang w:eastAsia="fr-FR"/>
          <w14:ligatures w14:val="none"/>
        </w:rPr>
        <w:t xml:space="preserve">Le temps de l’écriture. Écritures de la variation, écritures de la réception, </w:t>
      </w:r>
      <w:r w:rsidRPr="0060675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FR"/>
          <w14:ligatures w14:val="none"/>
        </w:rPr>
        <w:t>Grenoble, UGA Éditions, 2018.</w:t>
      </w:r>
    </w:p>
  </w:footnote>
  <w:footnote w:id="7">
    <w:p w14:paraId="07F3B24A" w14:textId="50049AB1" w:rsidR="00900359" w:rsidRPr="00900359" w:rsidRDefault="00900359" w:rsidP="00900359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900359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003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AMarie Petitjean, </w:t>
      </w:r>
      <w:r w:rsidRPr="00900359">
        <w:rPr>
          <w:rFonts w:ascii="Times New Roman" w:hAnsi="Times New Roman" w:cs="Times New Roman"/>
          <w:color w:val="000000"/>
          <w:sz w:val="20"/>
          <w:szCs w:val="20"/>
        </w:rPr>
        <w:t>« L’expérience de la création littéraire en cursus universitaire, à la lecture de John Dewey »</w:t>
      </w:r>
      <w:r w:rsidRPr="009003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r w:rsidRPr="00900359">
        <w:rPr>
          <w:rFonts w:ascii="Times New Roman" w:hAnsi="Times New Roman" w:cs="Times New Roman"/>
          <w:i/>
          <w:iCs/>
          <w:color w:val="000000"/>
          <w:sz w:val="20"/>
          <w:szCs w:val="20"/>
        </w:rPr>
        <w:t>Elfe XX-XXI</w:t>
      </w:r>
      <w:r w:rsidRPr="009003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[En ligne], 13 | 2024,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en ligne,</w:t>
      </w:r>
      <w:r w:rsidRPr="009003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00359">
        <w:rPr>
          <w:rFonts w:ascii="Times New Roman" w:hAnsi="Times New Roman" w:cs="Times New Roman"/>
          <w:color w:val="000000"/>
          <w:sz w:val="20"/>
          <w:szCs w:val="20"/>
        </w:rPr>
        <w:t>URL</w:t>
      </w:r>
      <w:r w:rsidRPr="009003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: </w:t>
      </w:r>
      <w:hyperlink r:id="rId2" w:history="1">
        <w:r w:rsidRPr="00900359">
          <w:rPr>
            <w:rStyle w:val="Lienhypertexte"/>
            <w:rFonts w:ascii="Times New Roman" w:hAnsi="Times New Roman" w:cs="Times New Roman"/>
            <w:sz w:val="20"/>
            <w:szCs w:val="20"/>
            <w:shd w:val="clear" w:color="auto" w:fill="FFFFFF"/>
          </w:rPr>
          <w:t>http://journals.openedition.org/elfe/7080</w:t>
        </w:r>
      </w:hyperlink>
      <w:r w:rsidRPr="009003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</w:footnote>
  <w:footnote w:id="8">
    <w:p w14:paraId="5F061860" w14:textId="77777777" w:rsidR="000D28EE" w:rsidRPr="00524EEE" w:rsidRDefault="000D28EE" w:rsidP="000D28E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4EEE">
        <w:rPr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524E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Serge Bouchardon, Isabelle </w:t>
      </w:r>
      <w:proofErr w:type="spellStart"/>
      <w:r w:rsidRPr="00524EEE">
        <w:rPr>
          <w:rFonts w:ascii="Times New Roman" w:hAnsi="Times New Roman" w:cs="Times New Roman"/>
          <w:color w:val="000000" w:themeColor="text1"/>
          <w:sz w:val="20"/>
          <w:szCs w:val="20"/>
        </w:rPr>
        <w:t>Cailleau</w:t>
      </w:r>
      <w:proofErr w:type="spellEnd"/>
      <w:r w:rsidRPr="00524E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« Milieu Numérique et « lettrés » du Numérique », </w:t>
      </w:r>
      <w:r w:rsidRPr="00524EE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Le français aujourd'hui</w:t>
      </w:r>
      <w:r w:rsidRPr="00524EEE">
        <w:rPr>
          <w:rFonts w:ascii="Times New Roman" w:hAnsi="Times New Roman" w:cs="Times New Roman"/>
          <w:color w:val="000000" w:themeColor="text1"/>
          <w:sz w:val="20"/>
          <w:szCs w:val="20"/>
        </w:rPr>
        <w:t>, n° 200, 2018, p.117-126 ; accessible en ligne : </w:t>
      </w:r>
      <w:hyperlink r:id="rId3" w:history="1">
        <w:r w:rsidRPr="00524EEE">
          <w:rPr>
            <w:rStyle w:val="Lienhypertexte"/>
            <w:rFonts w:ascii="Times New Roman" w:hAnsi="Times New Roman" w:cs="Times New Roman"/>
            <w:color w:val="000000" w:themeColor="text1"/>
            <w:sz w:val="20"/>
            <w:szCs w:val="20"/>
          </w:rPr>
          <w:t>doi.org/10.3917/lfa.200.0117</w:t>
        </w:r>
      </w:hyperlink>
      <w:r w:rsidRPr="00524E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9">
    <w:p w14:paraId="0D2920AF" w14:textId="43E1A8CA" w:rsidR="00C779A5" w:rsidRPr="00C779A5" w:rsidRDefault="00C779A5" w:rsidP="00C779A5">
      <w:pPr>
        <w:rPr>
          <w:rFonts w:ascii="Times New Roman" w:hAnsi="Times New Roman" w:cs="Times New Roman"/>
          <w:sz w:val="22"/>
          <w:szCs w:val="22"/>
          <w:lang w:eastAsia="fr-FR"/>
        </w:rPr>
      </w:pPr>
      <w:r w:rsidRPr="00C779A5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C779A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C779A5">
        <w:rPr>
          <w:rFonts w:ascii="Times New Roman" w:hAnsi="Times New Roman" w:cs="Times New Roman"/>
          <w:sz w:val="22"/>
          <w:szCs w:val="22"/>
        </w:rPr>
        <w:t>Bertrand Gervais, </w:t>
      </w:r>
      <w:r w:rsidRPr="00C779A5">
        <w:rPr>
          <w:rFonts w:ascii="Times New Roman" w:hAnsi="Times New Roman" w:cs="Times New Roman"/>
          <w:i/>
          <w:iCs/>
          <w:sz w:val="22"/>
          <w:szCs w:val="22"/>
        </w:rPr>
        <w:t>Un imaginaire de la fin du livre. Littérature et écrans</w:t>
      </w:r>
      <w:r w:rsidRPr="00C779A5">
        <w:rPr>
          <w:rFonts w:ascii="Times New Roman" w:hAnsi="Times New Roman" w:cs="Times New Roman"/>
          <w:sz w:val="22"/>
          <w:szCs w:val="22"/>
        </w:rPr>
        <w:t xml:space="preserve">, </w:t>
      </w:r>
      <w:r w:rsidRPr="00C779A5">
        <w:rPr>
          <w:rFonts w:ascii="Times New Roman" w:hAnsi="Times New Roman" w:cs="Times New Roman"/>
          <w:sz w:val="22"/>
          <w:szCs w:val="22"/>
          <w:lang w:eastAsia="fr-FR"/>
        </w:rPr>
        <w:t>Montréal, Presses de l'Université de Montréal, coll. "Cavales", 2023</w:t>
      </w:r>
      <w:r w:rsidRPr="00C779A5">
        <w:rPr>
          <w:rFonts w:ascii="Times New Roman" w:hAnsi="Times New Roman" w:cs="Times New Roman"/>
          <w:sz w:val="22"/>
          <w:szCs w:val="22"/>
        </w:rPr>
        <w:t>.</w:t>
      </w:r>
    </w:p>
  </w:footnote>
  <w:footnote w:id="10">
    <w:p w14:paraId="5ADBD49B" w14:textId="0F02C888" w:rsidR="005367ED" w:rsidRDefault="005367E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367ED">
        <w:rPr>
          <w:rFonts w:ascii="Times New Roman" w:hAnsi="Times New Roman" w:cs="Times New Roman"/>
          <w:sz w:val="22"/>
          <w:szCs w:val="22"/>
        </w:rPr>
        <w:t>Voir la synthèse diachronique depuis les années 1970 opérée par Christine Baron, conduisant à cette conclusion : « </w:t>
      </w:r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il s’agit moins de </w:t>
      </w:r>
      <w:r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"</w:t>
      </w:r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contester</w:t>
      </w:r>
      <w:r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"</w:t>
      </w:r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 une autorité que de la conduire à la pensée de ses limites. » : Christine Baron, « Autorité, </w:t>
      </w:r>
      <w:proofErr w:type="spellStart"/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auctorialité</w:t>
      </w:r>
      <w:proofErr w:type="spellEnd"/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, commencement », dans Emmanuel Bouju (</w:t>
      </w:r>
      <w:proofErr w:type="spellStart"/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dir</w:t>
      </w:r>
      <w:proofErr w:type="spellEnd"/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.),</w:t>
      </w:r>
      <w:r w:rsidRPr="005367ED">
        <w:rPr>
          <w:rStyle w:val="apple-converted-space"/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r w:rsidRPr="005367ED">
        <w:rPr>
          <w:rFonts w:ascii="Times New Roman" w:hAnsi="Times New Roman" w:cs="Times New Roman"/>
          <w:i/>
          <w:iCs/>
          <w:color w:val="252525"/>
          <w:sz w:val="22"/>
          <w:szCs w:val="22"/>
        </w:rPr>
        <w:t>L’autorité en littérature</w:t>
      </w:r>
      <w:r w:rsidRPr="005367ED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, Rennes, Presses universitaires de Rennes, 2010 ; accessible en ligne, DOI : doi.org/10.4000/books.pur.40529.</w:t>
      </w:r>
    </w:p>
  </w:footnote>
  <w:footnote w:id="11">
    <w:p w14:paraId="10391D19" w14:textId="77777777" w:rsidR="00741B8C" w:rsidRPr="00254FC8" w:rsidRDefault="00741B8C" w:rsidP="00741B8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>
        <w:rPr>
          <w:rStyle w:val="lev"/>
          <w:b w:val="0"/>
          <w:bCs w:val="0"/>
          <w:sz w:val="22"/>
          <w:szCs w:val="22"/>
        </w:rPr>
        <w:t>Joëlle</w:t>
      </w:r>
      <w:r>
        <w:rPr>
          <w:rStyle w:val="apple-converted-space"/>
          <w:rFonts w:eastAsiaTheme="majorEastAsia"/>
          <w:sz w:val="22"/>
          <w:szCs w:val="22"/>
        </w:rPr>
        <w:t> </w:t>
      </w:r>
      <w:r>
        <w:rPr>
          <w:rStyle w:val="familyname"/>
          <w:rFonts w:eastAsiaTheme="majorEastAsia"/>
          <w:sz w:val="22"/>
          <w:szCs w:val="22"/>
        </w:rPr>
        <w:t>Aden</w:t>
      </w:r>
      <w:r>
        <w:rPr>
          <w:sz w:val="22"/>
          <w:szCs w:val="22"/>
        </w:rPr>
        <w:t>,</w:t>
      </w:r>
      <w:r>
        <w:rPr>
          <w:rStyle w:val="apple-converted-space"/>
          <w:rFonts w:eastAsiaTheme="majorEastAsia"/>
          <w:sz w:val="22"/>
          <w:szCs w:val="22"/>
        </w:rPr>
        <w:t> </w:t>
      </w:r>
      <w:r>
        <w:rPr>
          <w:sz w:val="22"/>
          <w:szCs w:val="22"/>
        </w:rPr>
        <w:t xml:space="preserve">« Langues et langage dans un paradigme </w:t>
      </w:r>
      <w:proofErr w:type="spellStart"/>
      <w:r>
        <w:rPr>
          <w:sz w:val="22"/>
          <w:szCs w:val="22"/>
        </w:rPr>
        <w:t>enactif</w:t>
      </w:r>
      <w:proofErr w:type="spellEnd"/>
      <w:r>
        <w:rPr>
          <w:sz w:val="22"/>
          <w:szCs w:val="22"/>
        </w:rPr>
        <w:t> », </w:t>
      </w:r>
      <w:r>
        <w:rPr>
          <w:rStyle w:val="Accentuation"/>
          <w:rFonts w:eastAsiaTheme="majorEastAsia"/>
          <w:sz w:val="22"/>
          <w:szCs w:val="22"/>
        </w:rPr>
        <w:t>Recherches en didactique des langues et des cultures</w:t>
      </w:r>
      <w:r>
        <w:rPr>
          <w:rStyle w:val="apple-converted-space"/>
          <w:rFonts w:eastAsiaTheme="majorEastAsia"/>
          <w:sz w:val="22"/>
          <w:szCs w:val="22"/>
        </w:rPr>
        <w:t> </w:t>
      </w:r>
      <w:r>
        <w:rPr>
          <w:sz w:val="22"/>
          <w:szCs w:val="22"/>
        </w:rPr>
        <w:t xml:space="preserve">[En ligne], 14-1 | 2017, accessible en ligne DOI : </w:t>
      </w:r>
      <w:hyperlink r:id="rId4" w:history="1">
        <w:r w:rsidRPr="003C295F">
          <w:rPr>
            <w:rStyle w:val="Lienhypertexte"/>
            <w:sz w:val="22"/>
            <w:szCs w:val="22"/>
          </w:rPr>
          <w:t>https://doi.org/10.4000/rdlc.1085</w:t>
        </w:r>
      </w:hyperlink>
      <w:r>
        <w:rPr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A4B98"/>
    <w:multiLevelType w:val="hybridMultilevel"/>
    <w:tmpl w:val="4D4E0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5B5"/>
    <w:multiLevelType w:val="hybridMultilevel"/>
    <w:tmpl w:val="EC089318"/>
    <w:lvl w:ilvl="0" w:tplc="A6BE77C4">
      <w:start w:val="1"/>
      <w:numFmt w:val="bullet"/>
      <w:pStyle w:val="Titre3CV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E14AE9"/>
    <w:multiLevelType w:val="multilevel"/>
    <w:tmpl w:val="25A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61DC8"/>
    <w:multiLevelType w:val="hybridMultilevel"/>
    <w:tmpl w:val="068804A2"/>
    <w:lvl w:ilvl="0" w:tplc="874000E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5408"/>
    <w:multiLevelType w:val="hybridMultilevel"/>
    <w:tmpl w:val="43AEE850"/>
    <w:lvl w:ilvl="0" w:tplc="B8C6098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52965"/>
    <w:multiLevelType w:val="hybridMultilevel"/>
    <w:tmpl w:val="457E441E"/>
    <w:lvl w:ilvl="0" w:tplc="F1BA2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043E8"/>
    <w:multiLevelType w:val="hybridMultilevel"/>
    <w:tmpl w:val="E69CA61C"/>
    <w:lvl w:ilvl="0" w:tplc="70FCE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246C3"/>
    <w:multiLevelType w:val="multilevel"/>
    <w:tmpl w:val="C61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96087"/>
    <w:multiLevelType w:val="multilevel"/>
    <w:tmpl w:val="CBC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3286">
    <w:abstractNumId w:val="1"/>
  </w:num>
  <w:num w:numId="2" w16cid:durableId="1763447281">
    <w:abstractNumId w:val="1"/>
  </w:num>
  <w:num w:numId="3" w16cid:durableId="1123230527">
    <w:abstractNumId w:val="1"/>
  </w:num>
  <w:num w:numId="4" w16cid:durableId="68772543">
    <w:abstractNumId w:val="5"/>
  </w:num>
  <w:num w:numId="5" w16cid:durableId="178586825">
    <w:abstractNumId w:val="3"/>
  </w:num>
  <w:num w:numId="6" w16cid:durableId="2004047244">
    <w:abstractNumId w:val="0"/>
  </w:num>
  <w:num w:numId="7" w16cid:durableId="1408260920">
    <w:abstractNumId w:val="8"/>
  </w:num>
  <w:num w:numId="8" w16cid:durableId="1974015195">
    <w:abstractNumId w:val="4"/>
  </w:num>
  <w:num w:numId="9" w16cid:durableId="1013805760">
    <w:abstractNumId w:val="7"/>
  </w:num>
  <w:num w:numId="10" w16cid:durableId="795180104">
    <w:abstractNumId w:val="6"/>
  </w:num>
  <w:num w:numId="11" w16cid:durableId="101889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70"/>
    <w:rsid w:val="0000006D"/>
    <w:rsid w:val="00002B98"/>
    <w:rsid w:val="000037A9"/>
    <w:rsid w:val="00021404"/>
    <w:rsid w:val="00037875"/>
    <w:rsid w:val="00042258"/>
    <w:rsid w:val="00070365"/>
    <w:rsid w:val="000B3378"/>
    <w:rsid w:val="000C2CB2"/>
    <w:rsid w:val="000D28EE"/>
    <w:rsid w:val="00102C07"/>
    <w:rsid w:val="00124674"/>
    <w:rsid w:val="00131C55"/>
    <w:rsid w:val="00140C6D"/>
    <w:rsid w:val="00152A09"/>
    <w:rsid w:val="00157D06"/>
    <w:rsid w:val="00162DEF"/>
    <w:rsid w:val="00175511"/>
    <w:rsid w:val="001A19CF"/>
    <w:rsid w:val="001C6411"/>
    <w:rsid w:val="001E4CDE"/>
    <w:rsid w:val="00225337"/>
    <w:rsid w:val="00227DE6"/>
    <w:rsid w:val="00254FC8"/>
    <w:rsid w:val="00264093"/>
    <w:rsid w:val="00286605"/>
    <w:rsid w:val="002A2366"/>
    <w:rsid w:val="002A6426"/>
    <w:rsid w:val="002B20A5"/>
    <w:rsid w:val="002D5E31"/>
    <w:rsid w:val="00306E70"/>
    <w:rsid w:val="00332E13"/>
    <w:rsid w:val="00377845"/>
    <w:rsid w:val="003937E1"/>
    <w:rsid w:val="003E2EA0"/>
    <w:rsid w:val="003E4F15"/>
    <w:rsid w:val="00421F8E"/>
    <w:rsid w:val="004222C3"/>
    <w:rsid w:val="00424C82"/>
    <w:rsid w:val="004451CF"/>
    <w:rsid w:val="00445AC9"/>
    <w:rsid w:val="00476E0A"/>
    <w:rsid w:val="00505A23"/>
    <w:rsid w:val="00522CE3"/>
    <w:rsid w:val="00524EEE"/>
    <w:rsid w:val="005367ED"/>
    <w:rsid w:val="005405BE"/>
    <w:rsid w:val="0056112F"/>
    <w:rsid w:val="00585702"/>
    <w:rsid w:val="005B33F2"/>
    <w:rsid w:val="005C76B5"/>
    <w:rsid w:val="005E0850"/>
    <w:rsid w:val="005E1E22"/>
    <w:rsid w:val="005E2325"/>
    <w:rsid w:val="005F1B65"/>
    <w:rsid w:val="005F57E1"/>
    <w:rsid w:val="0060675E"/>
    <w:rsid w:val="00607CA0"/>
    <w:rsid w:val="00611FEE"/>
    <w:rsid w:val="00624370"/>
    <w:rsid w:val="00633921"/>
    <w:rsid w:val="00660BE6"/>
    <w:rsid w:val="00665B65"/>
    <w:rsid w:val="0067027C"/>
    <w:rsid w:val="00696C01"/>
    <w:rsid w:val="006A2B5D"/>
    <w:rsid w:val="006C0885"/>
    <w:rsid w:val="006D7E72"/>
    <w:rsid w:val="006F6329"/>
    <w:rsid w:val="006F77E8"/>
    <w:rsid w:val="00704472"/>
    <w:rsid w:val="00733485"/>
    <w:rsid w:val="00740753"/>
    <w:rsid w:val="00741B8C"/>
    <w:rsid w:val="00756AC4"/>
    <w:rsid w:val="00785FB0"/>
    <w:rsid w:val="00797FCC"/>
    <w:rsid w:val="007A169C"/>
    <w:rsid w:val="007C12E4"/>
    <w:rsid w:val="007D68D0"/>
    <w:rsid w:val="007E1F00"/>
    <w:rsid w:val="007E20F0"/>
    <w:rsid w:val="00854AC1"/>
    <w:rsid w:val="00862829"/>
    <w:rsid w:val="0086578D"/>
    <w:rsid w:val="00875CC5"/>
    <w:rsid w:val="00877B80"/>
    <w:rsid w:val="00892286"/>
    <w:rsid w:val="00894C4B"/>
    <w:rsid w:val="008A1D83"/>
    <w:rsid w:val="00900359"/>
    <w:rsid w:val="00900BB6"/>
    <w:rsid w:val="0093172C"/>
    <w:rsid w:val="00976C71"/>
    <w:rsid w:val="009927AF"/>
    <w:rsid w:val="009A52BB"/>
    <w:rsid w:val="009A663D"/>
    <w:rsid w:val="009B47A5"/>
    <w:rsid w:val="009D240F"/>
    <w:rsid w:val="009D2905"/>
    <w:rsid w:val="009F0530"/>
    <w:rsid w:val="00A02ECF"/>
    <w:rsid w:val="00A42487"/>
    <w:rsid w:val="00A53CC5"/>
    <w:rsid w:val="00AA4755"/>
    <w:rsid w:val="00AA5248"/>
    <w:rsid w:val="00AA585D"/>
    <w:rsid w:val="00AA7564"/>
    <w:rsid w:val="00AD6B7B"/>
    <w:rsid w:val="00B222B5"/>
    <w:rsid w:val="00B33FC8"/>
    <w:rsid w:val="00B434C7"/>
    <w:rsid w:val="00B70322"/>
    <w:rsid w:val="00B80F5C"/>
    <w:rsid w:val="00B92A8B"/>
    <w:rsid w:val="00B95FFE"/>
    <w:rsid w:val="00C12BDA"/>
    <w:rsid w:val="00C750D2"/>
    <w:rsid w:val="00C779A5"/>
    <w:rsid w:val="00C97006"/>
    <w:rsid w:val="00CC7AD9"/>
    <w:rsid w:val="00CF31C9"/>
    <w:rsid w:val="00CF56F4"/>
    <w:rsid w:val="00D13C32"/>
    <w:rsid w:val="00D14320"/>
    <w:rsid w:val="00D35112"/>
    <w:rsid w:val="00D52691"/>
    <w:rsid w:val="00D866A7"/>
    <w:rsid w:val="00DC36C5"/>
    <w:rsid w:val="00DE10B3"/>
    <w:rsid w:val="00E02A4D"/>
    <w:rsid w:val="00E14E80"/>
    <w:rsid w:val="00E45264"/>
    <w:rsid w:val="00E5340E"/>
    <w:rsid w:val="00E65FFF"/>
    <w:rsid w:val="00EA7370"/>
    <w:rsid w:val="00EE58C3"/>
    <w:rsid w:val="00F01727"/>
    <w:rsid w:val="00F51141"/>
    <w:rsid w:val="00F87DD3"/>
    <w:rsid w:val="00F87F68"/>
    <w:rsid w:val="00F90F98"/>
    <w:rsid w:val="00FB7CBF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023A"/>
  <w15:chartTrackingRefBased/>
  <w15:docId w15:val="{02833F22-900E-1642-8EEB-538BF97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6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7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7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7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7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7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7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CV">
    <w:name w:val="Titre 3 CV"/>
    <w:basedOn w:val="Titre3"/>
    <w:next w:val="Paragraphedeliste"/>
    <w:autoRedefine/>
    <w:qFormat/>
    <w:rsid w:val="00756AC4"/>
    <w:pPr>
      <w:numPr>
        <w:numId w:val="3"/>
      </w:numPr>
      <w:spacing w:before="360" w:after="200"/>
    </w:pPr>
    <w:rPr>
      <w:rFonts w:ascii="Garamond" w:eastAsia="MS ??" w:hAnsi="Garamond" w:cstheme="minorHAnsi"/>
      <w:iCs/>
      <w:color w:val="000000" w:themeColor="text1"/>
      <w:kern w:val="0"/>
      <w:sz w:val="22"/>
      <w:szCs w:val="26"/>
      <w:u w:val="single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56AC4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Paragraphedeliste">
    <w:name w:val="List Paragraph"/>
    <w:aliases w:val="Paragraphe de liste numérotée"/>
    <w:basedOn w:val="Normal"/>
    <w:uiPriority w:val="34"/>
    <w:qFormat/>
    <w:rsid w:val="00756AC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A7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7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EA73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73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73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73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73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73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7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73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7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737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EA73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7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73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7370"/>
    <w:rPr>
      <w:b/>
      <w:bCs/>
      <w:smallCaps/>
      <w:color w:val="0F4761" w:themeColor="accent1" w:themeShade="BF"/>
      <w:spacing w:val="5"/>
    </w:rPr>
  </w:style>
  <w:style w:type="paragraph" w:customStyle="1" w:styleId="paragraphe-standard">
    <w:name w:val="paragraphe-standard"/>
    <w:basedOn w:val="Normal"/>
    <w:rsid w:val="002D5E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65FFF"/>
    <w:rPr>
      <w:i/>
      <w:iCs/>
    </w:rPr>
  </w:style>
  <w:style w:type="character" w:styleId="Lienhypertexte">
    <w:name w:val="Hyperlink"/>
    <w:basedOn w:val="Policepardfaut"/>
    <w:uiPriority w:val="99"/>
    <w:unhideWhenUsed/>
    <w:rsid w:val="00894C4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4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3F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0C2CB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2CE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2C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2CE3"/>
    <w:rPr>
      <w:vertAlign w:val="superscript"/>
    </w:rPr>
  </w:style>
  <w:style w:type="paragraph" w:customStyle="1" w:styleId="inline-block">
    <w:name w:val="inline-block"/>
    <w:basedOn w:val="Normal"/>
    <w:rsid w:val="00524E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cursor-not-allowed">
    <w:name w:val="cursor-not-allowed"/>
    <w:basedOn w:val="Policepardfaut"/>
    <w:rsid w:val="00524EEE"/>
  </w:style>
  <w:style w:type="character" w:customStyle="1" w:styleId="font-normal">
    <w:name w:val="font-normal"/>
    <w:basedOn w:val="Policepardfaut"/>
    <w:rsid w:val="00524EEE"/>
  </w:style>
  <w:style w:type="character" w:customStyle="1" w:styleId="text">
    <w:name w:val="text"/>
    <w:basedOn w:val="Policepardfaut"/>
    <w:rsid w:val="0060675E"/>
  </w:style>
  <w:style w:type="character" w:styleId="lev">
    <w:name w:val="Strong"/>
    <w:basedOn w:val="Policepardfaut"/>
    <w:uiPriority w:val="22"/>
    <w:qFormat/>
    <w:rsid w:val="00254FC8"/>
    <w:rPr>
      <w:b/>
      <w:bCs/>
    </w:rPr>
  </w:style>
  <w:style w:type="character" w:customStyle="1" w:styleId="familyname">
    <w:name w:val="familyname"/>
    <w:basedOn w:val="Policepardfaut"/>
    <w:rsid w:val="00254FC8"/>
  </w:style>
  <w:style w:type="paragraph" w:styleId="Notedefin">
    <w:name w:val="endnote text"/>
    <w:basedOn w:val="Normal"/>
    <w:link w:val="NotedefinCar"/>
    <w:uiPriority w:val="99"/>
    <w:semiHidden/>
    <w:unhideWhenUsed/>
    <w:rsid w:val="00CC7A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7AD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C7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1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5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7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02/1043744ar" TargetMode="External"/><Relationship Id="rId3" Type="http://schemas.openxmlformats.org/officeDocument/2006/relationships/settings" Target="settings.xml"/><Relationship Id="rId7" Type="http://schemas.openxmlformats.org/officeDocument/2006/relationships/hyperlink" Target="%20%20%20%20%20https:/doi.org/10.7202/1108690ar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arie.petitjean@cyu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917/aco.121.000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3917/lfa.200.0117" TargetMode="External"/><Relationship Id="rId2" Type="http://schemas.openxmlformats.org/officeDocument/2006/relationships/hyperlink" Target="http://journals.openedition.org/elfe/7080" TargetMode="External"/><Relationship Id="rId1" Type="http://schemas.openxmlformats.org/officeDocument/2006/relationships/hyperlink" Target="https://www.fabula.org/ressources/atelier/?La_posture_d%27auteur" TargetMode="External"/><Relationship Id="rId4" Type="http://schemas.openxmlformats.org/officeDocument/2006/relationships/hyperlink" Target="https://doi.org/10.4000/rdlc.108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1375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7</cp:revision>
  <cp:lastPrinted>2025-03-31T14:45:00Z</cp:lastPrinted>
  <dcterms:created xsi:type="dcterms:W3CDTF">2025-03-31T14:45:00Z</dcterms:created>
  <dcterms:modified xsi:type="dcterms:W3CDTF">2025-04-10T09:42:00Z</dcterms:modified>
</cp:coreProperties>
</file>